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tabs>
          <w:tab w:leader="none" w:pos="0" w:val="left"/>
          <w:tab w:leader="none" w:pos="720" w:val="left"/>
          <w:tab w:leader="none" w:pos="1440" w:val="left"/>
          <w:tab w:leader="none" w:pos="2160" w:val="left"/>
          <w:tab w:leader="none" w:pos="2880" w:val="left"/>
          <w:tab w:leader="none" w:pos="3600" w:val="left"/>
          <w:tab w:leader="none" w:pos="4320" w:val="left"/>
          <w:tab w:leader="none" w:pos="5040" w:val="left"/>
          <w:tab w:leader="none" w:pos="5760" w:val="left"/>
          <w:tab w:leader="none" w:pos="6480" w:val="decimal"/>
        </w:tabs>
        <w:suppressAutoHyphens w:val="true"/>
        <w:spacing w:line="568" w:lineRule="exact"/>
        <w:jc w:val="both"/>
      </w:pPr>
      <w:r>
        <w:rPr>
          <w:rFonts w:ascii="Arial Narrow" w:hAnsi="Arial Narrow"/>
          <w:b/>
          <w:bCs/>
          <w:spacing w:val="-2"/>
          <w:sz w:val="22"/>
          <w:szCs w:val="22"/>
          <w:u w:val="single"/>
          <w:lang w:val="es-ES"/>
        </w:rPr>
        <w:t>VENTA JUDICIAL OTORGADA A FAVOR DE LA SEÑORA LUISA JUANA ADELAIDA ALBARRACIN. ESCRITURA NUMERO:                                                                                                                               -.</w:t>
      </w:r>
      <w:r>
        <w:rPr>
          <w:rFonts w:ascii="Arial Narrow" w:hAnsi="Arial Narrow"/>
          <w:spacing w:val="-2"/>
          <w:sz w:val="22"/>
          <w:szCs w:val="22"/>
          <w:lang w:val="es-ES"/>
        </w:rPr>
        <w:t xml:space="preserve"> En la Ciudad de San Miguel de Tucumán, Capital de la Provincia de Tucumán, República Argentina, a los </w:t>
      </w:r>
      <w:r>
        <w:rPr>
          <w:rFonts w:ascii="Arial Narrow" w:hAnsi="Arial Narrow"/>
          <w:spacing w:val="-2"/>
          <w:sz w:val="22"/>
          <w:szCs w:val="22"/>
          <w:lang w:val="es-ES"/>
        </w:rPr>
        <w:t>24</w:t>
      </w:r>
      <w:r>
        <w:rPr>
          <w:rFonts w:ascii="Arial Narrow" w:hAnsi="Arial Narrow"/>
          <w:spacing w:val="-2"/>
          <w:sz w:val="22"/>
          <w:szCs w:val="22"/>
          <w:lang w:val="es-ES"/>
        </w:rPr>
        <w:t xml:space="preserve"> días del mes de </w:t>
      </w:r>
      <w:r>
        <w:rPr>
          <w:rFonts w:ascii="Arial Narrow" w:hAnsi="Arial Narrow"/>
          <w:spacing w:val="-2"/>
          <w:sz w:val="22"/>
          <w:szCs w:val="22"/>
          <w:lang w:val="es-ES"/>
        </w:rPr>
        <w:t>Noviembre</w:t>
      </w:r>
      <w:r>
        <w:rPr>
          <w:rFonts w:ascii="Arial Narrow" w:hAnsi="Arial Narrow"/>
          <w:spacing w:val="-2"/>
          <w:sz w:val="22"/>
          <w:szCs w:val="22"/>
          <w:lang w:val="es-ES"/>
        </w:rPr>
        <w:t xml:space="preserve"> del año dos mil veintidos, yo </w:t>
      </w:r>
      <w:r>
        <w:rPr>
          <w:rFonts w:ascii="Arial Narrow" w:hAnsi="Arial Narrow"/>
          <w:b/>
          <w:bCs/>
          <w:spacing w:val="-2"/>
          <w:sz w:val="22"/>
          <w:szCs w:val="22"/>
          <w:lang w:val="es-ES"/>
        </w:rPr>
        <w:t>Sebastián Adolfo VILLAGRA</w:t>
      </w:r>
      <w:r>
        <w:rPr>
          <w:rFonts w:ascii="Arial Narrow" w:hAnsi="Arial Narrow"/>
          <w:spacing w:val="-2"/>
          <w:sz w:val="22"/>
          <w:szCs w:val="22"/>
          <w:lang w:val="es-ES"/>
        </w:rPr>
        <w:t xml:space="preserve">, Escribano Público, Titular del Registro número Cuarenta y dos, constituido en el Juzgado Civil y Comercial Común de la Iª Nominación de los Tribunales Ordinarios de esta Provincia, comparecen por una parte el Sr. Juez Subrogante, </w:t>
      </w:r>
      <w:bookmarkStart w:id="0" w:name="__DdeLink__98_113682064"/>
      <w:r>
        <w:rPr>
          <w:rFonts w:ascii="Arial Narrow" w:hAnsi="Arial Narrow"/>
          <w:spacing w:val="-2"/>
          <w:sz w:val="22"/>
          <w:szCs w:val="22"/>
          <w:lang w:val="es-ES"/>
        </w:rPr>
        <w:t xml:space="preserve">Dr. </w:t>
      </w:r>
      <w:r>
        <w:rPr>
          <w:rFonts w:ascii="Arial Narrow" w:hAnsi="Arial Narrow"/>
          <w:spacing w:val="-2"/>
          <w:sz w:val="22"/>
          <w:szCs w:val="22"/>
          <w:lang w:val="es-ES"/>
        </w:rPr>
        <w:t>Pedro Manuel Ramón</w:t>
      </w:r>
      <w:r>
        <w:rPr>
          <w:rFonts w:ascii="Arial Narrow" w:hAnsi="Arial Narrow"/>
          <w:spacing w:val="-2"/>
          <w:sz w:val="22"/>
          <w:szCs w:val="22"/>
          <w:shd w:fill="auto" w:val="clear"/>
          <w:lang w:val="es-ES"/>
        </w:rPr>
        <w:t xml:space="preserve"> Pérez</w:t>
      </w:r>
      <w:bookmarkEnd w:id="0"/>
      <w:r>
        <w:rPr>
          <w:rFonts w:ascii="Arial Narrow" w:hAnsi="Arial Narrow"/>
          <w:spacing w:val="-2"/>
          <w:sz w:val="22"/>
          <w:szCs w:val="22"/>
          <w:shd w:fill="auto" w:val="clear"/>
          <w:lang w:val="es-ES"/>
        </w:rPr>
        <w:t xml:space="preserve">, DNI. Nº </w:t>
      </w:r>
      <w:r>
        <w:rPr>
          <w:rFonts w:ascii="Arial Narrow" w:hAnsi="Arial Narrow"/>
          <w:spacing w:val="-2"/>
          <w:sz w:val="22"/>
          <w:szCs w:val="22"/>
          <w:shd w:fill="auto" w:val="clear"/>
          <w:lang w:val="es-ES"/>
        </w:rPr>
        <w:t>14.661.875</w:t>
      </w:r>
      <w:r>
        <w:rPr>
          <w:rFonts w:ascii="Arial Narrow" w:hAnsi="Arial Narrow"/>
          <w:spacing w:val="-2"/>
          <w:sz w:val="22"/>
          <w:szCs w:val="22"/>
          <w:shd w:fill="auto" w:val="clear"/>
          <w:lang w:val="es-ES"/>
        </w:rPr>
        <w:t xml:space="preserve"> CUIT </w:t>
      </w:r>
      <w:r>
        <w:rPr>
          <w:rFonts w:ascii="Arial Narrow" w:hAnsi="Arial Narrow"/>
          <w:spacing w:val="-2"/>
          <w:sz w:val="22"/>
          <w:szCs w:val="22"/>
          <w:shd w:fill="auto" w:val="clear"/>
          <w:lang w:val="es-ES"/>
        </w:rPr>
        <w:t>20-14661875-9</w:t>
      </w:r>
      <w:r>
        <w:rPr>
          <w:rFonts w:ascii="Arial Narrow" w:hAnsi="Arial Narrow"/>
          <w:spacing w:val="-2"/>
          <w:sz w:val="22"/>
          <w:szCs w:val="22"/>
          <w:shd w:fill="auto" w:val="clear"/>
          <w:lang w:val="es-ES"/>
        </w:rPr>
        <w:t xml:space="preserve">, </w:t>
      </w:r>
      <w:r>
        <w:rPr>
          <w:rFonts w:ascii="Arial Narrow" w:hAnsi="Arial Narrow"/>
          <w:spacing w:val="-2"/>
          <w:sz w:val="22"/>
          <w:szCs w:val="22"/>
          <w:shd w:fill="auto" w:val="clear"/>
          <w:lang w:val="es-ES"/>
        </w:rPr>
        <w:t xml:space="preserve">casado, </w:t>
      </w:r>
      <w:r>
        <w:rPr>
          <w:rFonts w:ascii="Arial Narrow" w:hAnsi="Arial Narrow"/>
          <w:spacing w:val="-2"/>
          <w:sz w:val="22"/>
          <w:szCs w:val="22"/>
          <w:shd w:fill="auto" w:val="clear"/>
          <w:lang w:val="es-ES"/>
        </w:rPr>
        <w:t xml:space="preserve">nacido el día </w:t>
      </w:r>
      <w:r>
        <w:rPr>
          <w:rFonts w:ascii="Arial Narrow" w:hAnsi="Arial Narrow"/>
          <w:spacing w:val="-2"/>
          <w:sz w:val="22"/>
          <w:szCs w:val="22"/>
          <w:shd w:fill="auto" w:val="clear"/>
          <w:lang w:val="es-ES"/>
        </w:rPr>
        <w:t>17/06/1962</w:t>
      </w:r>
      <w:r>
        <w:rPr>
          <w:rFonts w:ascii="Arial Narrow" w:hAnsi="Arial Narrow"/>
          <w:spacing w:val="-2"/>
          <w:sz w:val="22"/>
          <w:szCs w:val="22"/>
          <w:shd w:fill="auto" w:val="clear"/>
          <w:lang w:val="es-ES"/>
        </w:rPr>
        <w:t xml:space="preserve">, domiciliado en calle </w:t>
      </w:r>
      <w:r>
        <w:rPr>
          <w:rFonts w:ascii="Arial Narrow" w:hAnsi="Arial Narrow"/>
          <w:spacing w:val="-2"/>
          <w:sz w:val="22"/>
          <w:szCs w:val="22"/>
          <w:shd w:fill="auto" w:val="clear"/>
          <w:lang w:val="es-ES"/>
        </w:rPr>
        <w:t>Sabín N° 2540 de la ciudad de Yerba Buena</w:t>
      </w:r>
      <w:r>
        <w:rPr>
          <w:rFonts w:ascii="Arial Narrow" w:hAnsi="Arial Narrow"/>
          <w:spacing w:val="-2"/>
          <w:sz w:val="22"/>
          <w:szCs w:val="22"/>
          <w:shd w:fill="auto" w:val="clear"/>
          <w:lang w:val="es-ES"/>
        </w:rPr>
        <w:t xml:space="preserve">; </w:t>
      </w:r>
      <w:r>
        <w:rPr>
          <w:rFonts w:ascii="Arial Narrow" w:hAnsi="Arial Narrow"/>
          <w:spacing w:val="-2"/>
          <w:sz w:val="22"/>
          <w:szCs w:val="22"/>
          <w:lang w:val="es-ES"/>
        </w:rPr>
        <w:t xml:space="preserve">y  por la otra parte la señora </w:t>
      </w:r>
      <w:r>
        <w:rPr>
          <w:rFonts w:ascii="Arial Narrow" w:hAnsi="Arial Narrow"/>
          <w:b/>
          <w:bCs/>
          <w:spacing w:val="-2"/>
          <w:sz w:val="22"/>
          <w:szCs w:val="22"/>
          <w:lang w:val="es-ES"/>
        </w:rPr>
        <w:t>Luisa Juana Adelaida ALBARRACIN</w:t>
      </w:r>
      <w:r>
        <w:rPr>
          <w:rFonts w:ascii="Arial Narrow" w:hAnsi="Arial Narrow"/>
          <w:spacing w:val="-2"/>
          <w:sz w:val="22"/>
          <w:szCs w:val="22"/>
          <w:lang w:val="es-ES"/>
        </w:rPr>
        <w:t xml:space="preserve">, DNI. nº 6.023.962, CUIL 27-06023962-8, nacida el día 15 de Julio del año 1949, viuda de primeras nupcias, domiciliada en calle San Martín nº 182, 4º piso, departamento F de esta Ciudad. Ambos comparecientes son argentinos, mayores de edad, personas a quienes afirmo conocer en los términos del artículo 306 inciso “b” del Código Civil y Comercial Nacional, </w:t>
      </w:r>
      <w:r>
        <w:rPr>
          <w:rFonts w:ascii="Arial Narrow" w:hAnsi="Arial Narrow"/>
          <w:sz w:val="22"/>
          <w:szCs w:val="22"/>
          <w:lang w:val="es-MX"/>
        </w:rPr>
        <w:t>quienes manifiestan que no se encuentra en trámite, ni restringida, ni limitada su capacidad jurídica para el presente otorgamiento</w:t>
      </w:r>
      <w:r>
        <w:rPr>
          <w:rFonts w:ascii="Arial Narrow" w:hAnsi="Arial Narrow"/>
          <w:spacing w:val="-3"/>
          <w:sz w:val="22"/>
          <w:szCs w:val="22"/>
        </w:rPr>
        <w:t xml:space="preserve">.- </w:t>
      </w:r>
      <w:r>
        <w:rPr>
          <w:rFonts w:ascii="Arial Narrow" w:hAnsi="Arial Narrow"/>
          <w:spacing w:val="-2"/>
          <w:sz w:val="22"/>
          <w:szCs w:val="22"/>
          <w:lang w:val="es-ES"/>
        </w:rPr>
        <w:t xml:space="preserve">Y en el mencionado Juzgado, se tramita el Juicio caratulado: </w:t>
      </w:r>
      <w:r>
        <w:rPr>
          <w:rFonts w:ascii="Arial Narrow" w:hAnsi="Arial Narrow"/>
          <w:b/>
          <w:spacing w:val="-2"/>
          <w:sz w:val="22"/>
          <w:szCs w:val="22"/>
          <w:lang w:val="es-ES"/>
        </w:rPr>
        <w:t xml:space="preserve">“ALBARRACIN LUISA JUANA ADELAIDA C/KRASOVITZKI EDUARDO S/Z- INCUMPLIMIENTO DE CONTRATO” </w:t>
      </w:r>
      <w:r>
        <w:rPr>
          <w:rFonts w:ascii="Arial Narrow" w:hAnsi="Arial Narrow"/>
          <w:spacing w:val="-2"/>
          <w:sz w:val="22"/>
          <w:szCs w:val="22"/>
          <w:lang w:val="es-ES"/>
        </w:rPr>
        <w:t xml:space="preserve">Expediente Nº 896/02, del cual se transcriben las actuaciones pertinentes y relevantes a los efectos de la confección de la correspondiente escritura.- </w:t>
      </w:r>
      <w:r>
        <w:rPr>
          <w:rFonts w:ascii="Arial Narrow" w:hAnsi="Arial Narrow"/>
          <w:b/>
          <w:spacing w:val="-2"/>
          <w:sz w:val="22"/>
          <w:szCs w:val="22"/>
          <w:lang w:val="es-ES"/>
        </w:rPr>
        <w:t>A fojas 209/210:</w:t>
      </w:r>
      <w:r>
        <w:rPr>
          <w:rFonts w:ascii="Arial Narrow" w:hAnsi="Arial Narrow"/>
          <w:spacing w:val="-2"/>
          <w:sz w:val="22"/>
          <w:szCs w:val="22"/>
          <w:lang w:val="es-ES"/>
        </w:rPr>
        <w:t xml:space="preserve"> Resolución: “San Miguel de Tucumán, 24 de Febrero de 2006.- AUTOS Y VISTOS: Para resolver lo solicitado en estos autos caratulados: “ALBARRACIN LUISA JUANA ADELAIDA C/KRASOVITZKY EDUARDO S/Z- INCUPLIMIENTO DE CONTRATO” – 896/02, de los que RESULTA 1.- ALBARRACIN LUISA JUANA ADELAIDA inicia juicio en contra de KRASOVITZKY EDUARDO por incumplimiento de contrato. Alega que el 20/07/00 adquirió el inmueble sito en calle San Martin N</w:t>
      </w:r>
      <w:r>
        <w:rPr>
          <w:rFonts w:ascii="Arial Narrow" w:hAnsi="Arial Narrow"/>
          <w:spacing w:val="-2"/>
          <w:sz w:val="22"/>
          <w:szCs w:val="22"/>
          <w:lang w:val="es-AR"/>
        </w:rPr>
        <w:t xml:space="preserve">º. 182, unidad 4º “A”, mediante boleto de compraventa, entregando, al momento de la celebración, la suma de U$S20.000, habiéndose convenido que el saldo de U$S19.900 debía cancelarse al momento de otorgarse la correspondiente Escritura Pública de Dominio., conforme cláusula 10 contractual. Agrega que durante un largo tiempo el vendedor no le aceptaba el pago, en razón de aducir que no existía plano de subdivisión aprobado, y recién el 21/11/01 selo notifica mediante carta documento que la documentación necesatia para otorgarsexla Escritura se encontraba en en la Escribanía Ávila, y se le concedía un plazo de 48 horas para abonar la totalidad del saldo. Agrega que, al comparecer a la Escribanía toma conocimiento de que no se había inscripto e inmueble en el Registro Inmobiliario afectándolo a la propiedad horizontal, por lo cual el 27/12/01 remitió Carta Documento al ahora accionado. Luego, en el mes de Febrero de 2.002 el vendedor le informa telefónicamente que firmaría la Escritura, pero que la deuda debía ser cancelada en dólares, razón por la cual el actor solicita la aplicación el dcto. 214/02, a efectos de abonar el saldo deudor en pesos. 2.- El accionado contesta la demanda desde fs. 39 a 43, negando los hchos afirmados en la misma. A su vez, alega que, según surge de lo estipulado en la Cláusula II del boleto de compraventa, el accionado se encontraba en mora del pago del saldo adeudado desde el 21/10/00, lo que se acredita con el requerimiento de pago efectuado por Acta Notarial. Por ello, interpreta que el juicio es de incumplimiento contractual, y no de cumplimiento contractual. A su vez, reconviene, oponiéndose al pago en una moneda distinta a la convenida, solicitando, por otra parte, a que se intime al accionante a abonar la suma de U$S19.000, con más sus intereses. El actor contesta la reconvención a fs. 46 y vta., y acompañando boleta de depósito por la suma de $19.000, por entender que es de aplicación el art.3º . del dcto. 214/02. El demandado solicita el pago de dicha suma, a cuenta del total, en merito a los fundamentos que expone de fs. 50 a 54 vta. a lo que se opone el actor, en mérito a los fundamentos de fs. 56 a 58 vta., lo que es contestado, a su vez, por el accionado, de fs. 61 a 63, luego de lo cual se abre la causa a prueba (fs. 72), ofreciendo el actor las obrantes de fs. 87 a 106, y el demandado lo hace de fs. 107 a 137. Los Alegatos de Bien Probado de ambas partes se agregan de fs. 143 a 149, luego de lo cual se llama a Autos para sentencia. Y </w:t>
      </w:r>
      <w:r>
        <w:rPr>
          <w:rFonts w:ascii="Arial Narrow" w:hAnsi="Arial Narrow"/>
          <w:spacing w:val="-2"/>
          <w:sz w:val="22"/>
          <w:szCs w:val="22"/>
          <w:lang w:val="es-ES"/>
        </w:rPr>
        <w:t xml:space="preserve">CONSIDERANDO: a.- ADMISIBILIDAD DE LA DEMANDA 1.- Según surge de los términos de la demanda, la única petición concreta del accionante la aplicación el dcto. 214/02, a efectos de abonar el saldo deudor en pesos, y no en dólares, como estaba pactado originariamente. Es decir, no se demanda al accionado para que otorgue la Escritura Pública de Dominio fundada en el boleto de compraventa adjuntado con la demanda, ni tampoco resolución contractual por incumplimiento, (no obstante que el actor en su demanda, alega que inicia juicio “por incumplimiento de contrato”). De los términos empleados tampoco puede cocluirse que el actor persiga la adecuación de las prestaciones de un contrato celebrado en dólares, justa y equitativamente, teniendo en cuenta la implementación de la “pesificación” para créditos en moneda extranjera. La demanda debe contener “la designación precisa del objeto de la demanda” así como “La petición formulada en términos claros y precisos” (Art. 285 incs. 3º y 5º procesal), recaudos estos que no se hallan cumplidos en autos, por lo que entiendo que la misma debe ser rechazada, por inadmisibilidad formal, con costas al actor vencido. (Art. 106 procesal). B.- RECONVENCION 1.- El demandado reconviene, solicitando se condene al accionante a abonar la suma de U$S19.000, con más sus intereses, considerando que el actor ya se encontraba en mora desde el 21/10/00, fecha en la cual, según considera, debió haber abonado dicha suma, para cancelar el saldo adeudado. Pasando a valorar la procedencia de la reconvención, debe recordarse que el comprador (ahora accionante y reconvenido), se obligó a la cancelación de precio pactado, en un plazo de 90 días desde la fecha de la celebración del boleto, (es decir, a computarse desde el 20/07/00), el que se cumplió, en consecuencia, el 20/10/00. A su vez, el vendedor (hoy accionado y reconviniente), se comprometió a otorgar la Escritura Pública de Dominio al momento de la cancelación del saldo adeudado. 2.- Entiendo que, aunque las partes no lo han  invocado, de la tesitura procesal alegada en la demanda, así como en la reconvención, y en su responde, debe encuadrarse el caso de autos dentro de lo dispuesto por el art. 1201 del C. Civil (y también en el art. 510 del citado código), que permite a una de las partes, en los contratos de ejecución simultánea o recíproca, interponer excepción dilatoria de incumplimiento, basado a su vez en el incumpliendo de la otra parte. Efectivamente El actor en su demanda alega que, ante la notificación de comparecer a la Escribanía a fin de firmar la Escritura Pública de Dominio, efectuada el 21/11/01, verifico que “no se había concluido con la inscripción en sede Registral”, aparte de que también sostiene que no estaba obligado a abonar en la moneda originariamente convenida. A su vez, el accionado alega que no puede el acor pretender abonar su deuda en pesos, amén de que el mismo se encontraba en mora desde el 21/10/2.000. 3.- Es decir que el actor reconoce que fue debidamente citado a la Escribanía, pero que no se estaba en condiciones de escriturar, circunstancia esta última que estaba a su cargo acreditar, conforme las reglas que rigen el onus probandi (Art. 308 procesal). Al efecto, obra a fs. 96 informe del Reistro Inmobiliario en el cual consta que el Reglamento de Copropiedad y Administración fue aprobado por Escritura Pública de Dominio Nº 268, del 20/12/01 y que se registró el 3/1/02, es decir, con posterioridad a la citación del Escribano ya mencionada (que tuvo el 21/11/01, conforme se señaló anteriormente). Aparte de ello, se observa en el informe citado, que el inmueble no se encontraba con plano de subdivisión aprobado, ya que en el Reg. Inmobiliario, a la fecha de la citación por la Escribana, todavía figura el inmueble en mayor extensión, sin la subdivisión en departamentos de propiedad horizontal. Es decir, efectivamente, cuando se lo cita a la Escribanía, el demandado no se encontraba en condiciones de escriturar la unidad prometida en venta, por incumplimiento del art. 9º de la ley 13.512, y de los arts. 1, 8, 12 y concordantes de la ley de prehorizontalidad. No obstante, el actor tampoco cumplió ni ofreció cumplir con la obligación de abonar la deuda conforme se pactó, sino que pretende cancelarla según la pesificación en una equivalencia de un pesos igual a un dólar, sin ofrecer una compensación equitativa de la modificación de la relación de cambio, lo que resulta improcedente, atento a lo dispuesto por los arts. 4º y 8º del Dcto.214, (publicado en el Boletín Oficial el 4/2/02) y a lo normado en el art. Art. 11 de la ley 25.561, publ. en el Boletín Oficial el 7/1/2.002). Por otra parte, con la sanción de la ley 25.820, publ. en el Boletín oficial el 4/12/03, se aclaró los alcances del art. 11 de la ley 25.561, estableciéndose que las obligaciones existentes al 6-1-02 se convertirán a pesos haya o no mora del deudor, resultando aplicable la normativa vigente en cuanto al CER o CVS según sea el caso. En consecuencia, de acuerdo a la normativa citada, de aplicación al caso de autos, la deuda se encuentra alcanzada por las disposiciones de las leyes de emergencia, debiéndose, por ello, pesificarse la deuda, en una equivalencia de uno a uno, con más el CER, según metodología de cálculo contemplada en la ley 25.713 del 28 de noviembre de 2002, promulgada el 8 de enero de 2003. 4.- Ahora bien, La contrademanda implica, a mi entender, un ofrecimiento de escriturar, al momento de la cancelación del precio de venta, cuyo pago se reclama, ya que se trata de obligaciones reciprocas. En consecuencia, se hace lugar a la reconvención, fijándose un plazo de noventa días desde que la presente sentencia quede firme para que ambas partes cumplan con sus obligaciones, conforme lo considerado, debiendo el comprador, (actor y reconvenido), dentro de dicho termino, designar escribano, y notificar de ello al vendedor, (accionado y reconviniente), con posterior citación de este a las partes para que concurran el día fijado ( a los noventa días ya indicados), a cumplir con sus respectivas obligaciones, según lo Considerado. (Es decir, el accionante deber abonar la suma convenida, pesificada en la forma considerada, y el demandado deberá otorgar la Escritura Pública de Dominio). COSTAS, por su orden, atento a que han mediado mutuos incumplimientos. Por lo que RESUELVO: “NO HACER LUGAR a la demanda interpuesta por ALBARRACIN LUISA JUANA ADELAIDA en contra de KRASOVITZKY EDUARDO, con costas al accionante vencido. HACER LUGAR a la reconvención deducida por KRASOVITZKY EDUARDO en contra de ALBARRACIN LUISA JUANA ADELAIDA, debiendo las partes cumplir con sus obligaciones recíprocas, en el plazo y con las modalidades consideradas. COSTAS de la reconvención, por su orden. HAGASE SABER. Hay una firma ilegible y un sello aclaratorio que dice: Dr. Benjamín Palacio JUEZ JUZG. CIVIL Y COMER. COMUN Ia. NOM.”.- </w:t>
      </w:r>
      <w:r>
        <w:rPr>
          <w:rFonts w:ascii="Arial Narrow" w:hAnsi="Arial Narrow"/>
          <w:b/>
          <w:spacing w:val="-2"/>
          <w:sz w:val="22"/>
          <w:szCs w:val="22"/>
          <w:lang w:val="es-ES"/>
        </w:rPr>
        <w:t xml:space="preserve">A fojas 269/273: </w:t>
      </w:r>
      <w:r>
        <w:rPr>
          <w:rFonts w:ascii="Arial Narrow" w:hAnsi="Arial Narrow"/>
          <w:spacing w:val="-2"/>
          <w:sz w:val="24"/>
          <w:szCs w:val="24"/>
          <w:lang w:val="es-ES"/>
        </w:rPr>
        <w:t>Resolución: En la Ciudad de San Miguel de Tucumán, 12 de diciembre de 2006, reunidos los Sres. Vocales de la Excma. Cámara en lo Civil y Comercial, Sala IIa., Dres. Ricardo Jorge Robinson y Martha González de Ponssa con el objeto de conocer y decidir los recursos interpuestos contra la sentencia dictada en los autos caratulados “ALBARRACIN LUISA JUANA ADELAIDA C/ KRASOVITZKY EDUARDO S/Z- INCUMPLIMIENTO DE CONTRATO” – Expte. n</w:t>
      </w:r>
      <w:r>
        <w:rPr>
          <w:rFonts w:ascii="Arial Narrow" w:hAnsi="Arial Narrow"/>
          <w:spacing w:val="-2"/>
          <w:sz w:val="24"/>
          <w:szCs w:val="24"/>
          <w:lang w:val="es-AR"/>
        </w:rPr>
        <w:t xml:space="preserve">º 896/02; y abierta la vista pública, el Tribunal se plantea la siguiente cuestión: ¿ESTA AJUSTADA A DERECHO LA SENTENCIA APELADA? Practicado el sorteo de ley para determinar el orden de la votación, el mismo dio el siguiente resultado: Dres. Ricardo Jorge Robinson y Martha González de Ponssa.- </w:t>
      </w:r>
      <w:r>
        <w:rPr>
          <w:rFonts w:ascii="Arial Narrow" w:hAnsi="Arial Narrow"/>
          <w:b/>
          <w:bCs/>
          <w:spacing w:val="-2"/>
          <w:sz w:val="24"/>
          <w:szCs w:val="24"/>
          <w:u w:val="single"/>
          <w:lang w:val="es-AR"/>
        </w:rPr>
        <w:t>El Sr. Vocal RICARDO JORGE ROBINSON, DIJO:</w:t>
      </w:r>
      <w:r>
        <w:rPr>
          <w:rFonts w:ascii="Arial Narrow" w:hAnsi="Arial Narrow"/>
          <w:spacing w:val="-2"/>
          <w:sz w:val="24"/>
          <w:szCs w:val="24"/>
          <w:u w:val="single"/>
          <w:lang w:val="es-AR"/>
        </w:rPr>
        <w:t xml:space="preserve"> </w:t>
      </w:r>
      <w:r>
        <w:rPr>
          <w:rFonts w:ascii="Arial Narrow" w:hAnsi="Arial Narrow"/>
          <w:spacing w:val="-2"/>
          <w:sz w:val="24"/>
          <w:szCs w:val="24"/>
          <w:lang w:val="es-AR"/>
        </w:rPr>
        <w:t>I. Que vienen los autos para resolver los recursos de apelación deducidos por el demandado y la actora en contra de la sentencia definitiva de fecha 24 de febrero de 2006 (fs. 209/210), que rechaz</w:t>
      </w:r>
      <w:r>
        <w:rPr>
          <w:rFonts w:ascii="PMingLiU-ExtB" w:cs="PMingLiU-ExtB" w:eastAsia="PMingLiU-ExtB" w:hAnsi="PMingLiU-ExtB"/>
          <w:spacing w:val="-2"/>
          <w:sz w:val="24"/>
          <w:szCs w:val="24"/>
          <w:lang w:val="es-AR"/>
        </w:rPr>
        <w:t>ó</w:t>
      </w:r>
      <w:r>
        <w:rPr>
          <w:rFonts w:ascii="Arial Narrow" w:hAnsi="Arial Narrow"/>
          <w:spacing w:val="-2"/>
          <w:sz w:val="24"/>
          <w:szCs w:val="24"/>
          <w:lang w:val="es-AR"/>
        </w:rPr>
        <w:t xml:space="preserve"> la demanda e hizo lugar a la reconvención, condenando a las partes a cumplir con sus obligaciones recíprocas. A fs. 228/240 expresa agravios el accionado, los que son contestados por la actora a fs. 243/247; a fs. 250/259 presenta su escrito recursivo la accionante, el que es contestado a fs. 262/265 por la contraria. Firme el proveído del 14 de agosto de 2006, quedan los recursos en condiciones de ser resueltos. II. 1. Se agravia el demandado sosteniendo que el Sr. Juez a-quo al encuadrar el caso en los arts. 1201 y 510 del Cód. Civil, efectuó interpretaciones subjetivas de los intereses de las partes, violando el principio de la legítima defensa y el debido proceso, ya que los jueces al resolver deben ajustarse estrictamente a lo que las partes quieren. Sostiene que la excepción de incumplimiento no funciona automáticamente sino que es necesario que la otra parte la invoque para verse beneficiado con dicha excepción. Destaca que el objeto de la demanda es “incumplimiento de contrato”, pero que de su contenido nada está claro, solo la aplicación de la pesificación, pero que nunca se planteó la teoría de la imprevisión o una medida innovativa para poder obtener lo que quería. Se queja de la existencia de contradicciones en el decisorio ya que el a quo no hace lugar a la demanda, pero hace interpretaciones de la intención de la actora al tiempo de demandar respecto de la obligación de escriturar de su parte. En lo que atañe a la aplicación del decreto 214/02, expresa que no se ha considerado lo que sostiene la teoría del esfuerzo compartido ni la mora expresamente reconocida por la actora. Postula que ante la existencia de mora corresponde aplicar al deudor moroso que soporte el 80% de la perdida que existiría entre $1,40 y la diferencia del valor en el mercado libre de cambio, lo que arrojaría un resultado de aproximadamente $2,77. Asimismo reclama que tenga presente el principio de conservación del contrato al que alude la parte final del art. 8 del decreto 214/02, el que entiende guarda alguna relación con la regla interpretativa del art. 218, inc.3, del Código de Comercio. Cita doctrina y jurisprudencia. 2. Al tiempo </w:t>
      </w:r>
      <w:r>
        <w:rPr>
          <w:rFonts w:ascii="Arial Narrow" w:hAnsi="Arial Narrow"/>
          <w:spacing w:val="-2"/>
          <w:sz w:val="24"/>
          <w:szCs w:val="24"/>
          <w:lang w:val="es-ES"/>
        </w:rPr>
        <w:t xml:space="preserve">de expresas sus agravios, la actora sostiene que de un atenta lectura de la demanda de autos surge, en general, el objeto que se demanda, que es “por incumplimiento de contrato”, y en especial “por aplicación del dcto-ley 214/02” identificándose al demandado con su nombre completo y domicilio. Agrega con la demanda interpuesta nace la obligación de proveimiento de órgano judicial, siendo su deber corregir cualquier error de forma en la demanda antes que la litis se haya trabado. Entiende que la sentencia al rechazar por inadmisibilidad formal una demanda, cuya admisibilidad ya había sido declarada por el mismo tribunal, lo coloca en presencia de una violación a la doctrina de los actos propios. En orden a la reconvención expresa que es de práctica usual retener el saldo hasta la escrituración, lo que en el caso se dio por la incertidumbre a que fue colocada por la falta de conclusión del trámite de inscripción registral y las idas y vuelta sin resultado positivo a las escribanías en donde supuestamente se realizaría la escritura. Se queja de que la prueba ha sido interpretada en forma parcial, sin esgrimir las razones por las que han sido desechadas algunas probanzas, lo cual tiñe de arbitraria la decisión. Manifiesta que no sólo ofreció cumplir, lo que consta en la respuesta a la carta de intimación remitida por el demandado, sino que la obligación ha sido cancelada mediante depósito judicial del 08/07/2002 ajustando a la normativa de emergencia vigente. Por ello considera que el Sr. Juez a quo se equivocó al asignarle toda la carga de un presunto incumplimiento al afirmar en la sentencia que “el actor no cumplió ni ofreció cumplir”. Destaca que al momento del depósito, 08/07/2002, la aplicación del CER se encontraba suspendida, por lo que el pago realizado resulta total y cancelatorio, quedando a cargo del demandado el otorgamiento de la escritura traslativa de dominio y cargar con las costas de un proceso que se vio obligada a promover para obligarlo a cumplir. Sostiene que el demandado para obtener la recomposición de su crédito debió hacer uso del derecho que le acuerda el art. 8 del decreto 214/02, pero éste renunció a hacer uso de esa facultad al requerir orden de pago y el juzgador no puede suplirla recomponiendo la deuda con la sentencia. Postula la aplicación de la doctrina del esfuerzo compartido. Señala que atento la fecha del pago mediante depósito judicial, el 08/07/2002, debiendo ser el 21/11/2001, en su opinión solo puede ser exigible el CER en relación a esa fracción de tiempo. Finalmente peticiona se condene al demandado por la mora en que ha incurrido en el otorgamiento de la escritura pública, con intereses y CER, sin perjuicio de los daños y perjuicios ocasionados. III. En su responde, la actora solicita el rechazo del recurso por cuanto la expresión de agravios no reúne las condiciones de forma exigidas por el Código de rito. IV. La pretendida deserción del recurso. En primer término debo señalar que no aparecen nítidamente afectadas las pautas determinadas por el art. 779 Procesal como para optar por la deserción del recurso demandado. Esta regla debe interpretarse restrictivamente ya que importa perdida o caducidad de derechos que por ende puede vulnerar la garantía constitucional de la defensa en juicio. Por lo que corresponde tener por cumplida la carga procesal en examen según el standard flexible en la técnica recursiva empleada. Al respecto se ha sostenido que “… Para establecer si un memorial satisface o no esas exigencias, debe adoptarse un criterio de apreciación teológico. Si el escrito recursivo llena su finalidad, aunque lo haga con estrechez, o lindando los limites técnicos tolerables, habrá alcanzado su objetivo, y por ende, no corresponde declarar su insuficiencia. La cuestión debe admitirse con un criterio amplio favorable al apelante, de modo de preservar su derecho de defensa”. (CSJT, in re “Banco de la Provincia de Tucumán vs. S.A. Miguel Seleme A Y C y otro S/Cobro Ejecutivo”, sentencia N° 476 del 10/06/2002). 2. La sentencia objeto de los recursos y las cuestiones a decidir. Entrando al análisis de los agravios, resulta menester destacar que la sentencia objeto de los recursos de apelación rechazó la demanda interpuesta por la actora con fundamento en el incumplimiento de los recaudos previstos en el art. 285, incisos 3° y 5° Procesal, por no contener la designación precisa del objeto de la demanda ni la petición formulada en términos claros y precisos. El decisorio hizo lugar a la reconvención articulada por el demandado y condenó a la accionante a abonar la suma convenida, pesificada en una equivalencia de uno a uno con más el CER. Asimismo, condenó al demandado a cumplir con su obligación recíproca al considerar que la contrademanda implicó un ofrecimiento de escriturar. Consideró que eran aplicables al caso las disposiciones de los arts. 1201 y 510 del Cod. Civil. Considero que la primera cuestión a decidir es la procedencia, o no, del rechazo de la demanda por defectos de forma; en segundo término, y en su caso, se juzgará el encuadre legal del sub lite efectuado por el Sr. Juez a-quo y la aplicación al presente de la legislación de emergencia. Finalmente se analizará la imposición de costas. Los agravios de ambas partes serán tratados conjuntamente por involucrar la misma temática. 3. El rechazo de la demanda por defectos formales. El sentenciante concluyó en que no se demandó al accionado para que otorgue la escritura pública de dominio, ni la resolución del contrato por incumplimiento y sostuvo que tampoco podía concluir que el actor persiguiera la adecuación de las prestaciones de un contrato celebrado en dólares. Es cierto que en la demanda de autos no han sido precisados, con toda claridad, los alcances del reclamo; pero no es menos cierto que del tenor de la misma surge la denuncia del incumplimiento del demandado con la obligación de escriturar </w:t>
      </w:r>
      <w:r>
        <w:rPr>
          <w:rFonts w:ascii="Arial Narrow" w:hAnsi="Arial Narrow"/>
          <w:spacing w:val="-2"/>
          <w:sz w:val="24"/>
          <w:szCs w:val="24"/>
          <w:lang w:val="es-AR"/>
        </w:rPr>
        <w:t xml:space="preserve">a </w:t>
      </w:r>
      <w:r>
        <w:rPr>
          <w:rFonts w:ascii="Arial Narrow" w:hAnsi="Arial Narrow"/>
          <w:spacing w:val="-2"/>
          <w:sz w:val="24"/>
          <w:szCs w:val="24"/>
          <w:lang w:val="es-ES"/>
        </w:rPr>
        <w:t>su cargo, lo que aparece corroborado con la expresa mención de que “viene a iniciar formal demanda de incumplimiento de contrato, solicitando a su vez la aplicación del dcto-ley n° 214/02” (sic). Así lo entendió, también, el propio accionado, quien al contestarla consideró importante destacar que “en los contratos con prestaciones recíprocas, la parte incumplidora no podrá requerir el cumplimiento de su obligación, cuando la misma no dio cumplimiento con la suya” (fs. 42 y 43). Entonces me pregunto: si no le demandaban el cumplimiento de la obligación a su cargo ¿Por qué opuso la excepción de incumplimiento?. En supuestos como el del sub lite, en los que el magistrado omite la aplicación de las medidas sanadoras que prevé el art. 288 Procesal y el demandado no opone excepción de defecto legal, independientemente del nombre que la accionante le diera al objeto de la demanda, éste debe interpretarse a la luz de los términos en que la misma ha sido deducida y al marco en el cual la litis ha quedado trabada, ejerciendo en plenitud las facultades asignadas por el art. 34 del CPCC. Y el Juez que omitió ese contralor inicial, debe extremar sus esfuerzos para desentrañar la finalidad que persiguió el actor al iniciar el proceso, esfuerzo que –en el sub examine- se ve facilitado por la postura que asumió el demandado, conforme ya lo pusiera de relieve precedentemente. Sobre el particular se ha dicho “esta Corte, en circunstancias análogas, ha descalificado el pronunciamiento de la Cámara que al considerar los términos en que había sido formulada la demanda incurrió en un apartamiento del “sentido evidente del escrito en cuestión” (Fallos 302:358). Que, por otra parte, si bien la alzada –para justificar su decisión- hizo hincapié en la necesidad de cumplir con los recaudos del art. 330 incs. 3, 4 y 6 CPCCN para preservar el derecho de defensa de la contraparte, lo decisivo es que en el caso el demandado, pese a haber aludido sobre la falta de precisión en los términos de la demanda, no encontró obstáculos para ejercer plenamente su defensa, como lo pone de relieve la circunstancia de no haber opuesto la excepción de defecto legal que prevé el art. 347, inc. 5° Ccit. De ahí, pues, que como la ha subrayado el tribunal en el precedente citado en el considerando anterior, constituye un exceso ritual manifiesto “hacer mérito del incumplimiento de cargas procesales cuya finalidad es proteger el derecho de defensa de la contraparte pese a que (…) tal incumplimiento no podía causar en la especie lesión alguna a ese derecho”. (CSJN, “Burczynski de Rey, Ana M.V. Ravinovich, Juan”, 10/10/2000, Fallos: 323:2855). Súmase a ello la aclaración formulada por la actora a fs. 57, en cuanto a que “la pretensión objeto de esta litis es el cumplimiento de contrato o cumplimiento de obligación”. Y la oposición formulada por el accionado a fs. 62 no resulta atendible, pues tal aclaratoria no consistió en una mutación, transformación ni alteración de la acción entablada, lo que si está vedado por el art. 289 Procesal. De allí que, en el punto, la queja expuesta por la actora habrá de prosperar. 4. El encuadre legal de la cuestión. Una de las quejas centrales del demandado pasa por el encuadre legal que hiciera el a quo, ya que considera que la defensa a que aluden los arts. 510 y 1201 no opera automáticamente. Sobre el particular resulta llamativa esta postura del accionado, cuando fue él quien opuso la defensa al expresar en su responde que “en los contratos con prestaciones recíprocas, la parte incumplidora no podrá requerir el cumplimiento de su obligación, cuando la misma no dio cumplimiento con la suya” (fs. 42 y 43), expresiones que son reiteradas en el alegato cuando se requiere a los argumentos del demandado (fs. 147). El hecho de que no dijera “opongo excepción de incumplimiento contractual” no es obstáculo para tal interpretación, porque el proceso no es un rito que deba conducirse en base a formulas sacramentales. Por otra parte, esta defensa “no requiere ser opuesta en términos sacramentales ni tampoco que sea alegada expresamente como excepción, bastando que de los hechos o argumentaciones expuestos al contestar la demanda o de las imputaciones y cargos efectuados por el actor resulte que se le ha esgrimido como defensa de fondo”. (Código Civil Comentado – Contratos, Parte General, Rubinzal – Culzoni, Santa Fe, 2006, pag. 423). Ello sentado, cabe señalar que en el contrato de compra venta de fs. 5, en su clausula segunda se lee que “el saldo de U$S19.900 (diecinueve mil novecientos) será abonado a los noventa días de la fecha”; y ambas partes están contestes en que la fecha consignada en el mismo, esto es el 20 de julio de 2000, es la celebración del negocio jurídico en cuestión, por lo que el plazo para el pago del saldo de precio era el 18/10/2000. En relación a la escrituración, la cláusula décima reza: “el vendedor se compromete a suscribir la escritura traslativa de dominio del inmueble que se vende a favor del comprador, en el momento de hacerse efectivo la totalidad del precio fijado en la venta, no debiendo existir deuda alguna o saldo impago por parte del comprador”. Como se aprecia, las obligaciones a cargo de las partes eran simultáneas: el comprador debía abonar el saldo el 18/10/2000 y “en ese momento”, el vendedor suscribiría la escritura. Así queda configurada en autos la primera condición de ejercicio de la defensa opuesta por el demandado, cual es la “correlación y simultaneidad de las prestaciones a cargo de las partes”. Asimismo, el depósito judicial efectuado por la accionante en fecha 8 de julio de 2002 (fs. 46), es demostrativo de su incumplimiento en el plazo contractualmente fijado por las partes, esto es el 18 de octubre de 2000, por lo que la segunda condición para el ejercicio de la excepción de incumplimiento se encuentra, también, configurada. Al respecto los agravios de la actora no alcanzan a revertir el criterio del sentenciante en cuanto a que al tiempo de la promoción de la acción, esto es en la demanda, aquella no cumplió ni ofreció cumplir con la prestación a su cargo. Adviértase que el depósito se efectuó luego de haber tomado conocimiento de la promoción de la reconvención y después de transcurridos casi dos años del vencimiento del plazo originariamente pactado, sin que la compradora – actora en autos – alegara ni probara la existencia de un impedimento insalvable o alguna causal que justificara tal incumplimiento. La carta documento que glosa a fs. 14 –que  la accionante alega haber remitido al demandado– ha sido desconocida por éste en su autenticidad y recepción, por lo que pesaba sobre la demandante la carga de probar que la misma fue recibida por el destinatario, lo que no hizo. De allí que sus quejas respecto de la omisión de Sr. Juez a-quo en su merituación, no resultan atendibles. Tampoco es exacto que con dicho deposito hubiera cancelado la obligación pactada originariamente en dólares estadounidenses. Es que las normas de emergencia disponen que tales obligaciones se pesifican a la paridad de un peso igual a un dólar, con más el CER que publique el BCRA. Y el depósito no incluyó el coeficiente en cuestión, ni se ofreció su pago. Por el contrario, la pretensión de la reconvenida fue pagar idéntico monto en pesos. Y en relación a la suspensión del CER, cabe precisar que dicho coeficiente “comienza a calcularse a partir del 4/2/2002 conforme lo dispuesto por el decreto 214/2002 y el art. 1 ley 25713, pero no empieza a cobrarse a partir de esa fecha ya que su exigibilidad estuvo suspendida hasta el 30/09/2002 por la ley 25642. Es decir que a partir del 1/10/2002 se comienza a cobrar el CER, mensualmente, no obstante ser exigible desde el 4/2/2002”. (MEDINA, Graciela, “CER CVS e intereses. ¿Cómo brindar seguridad jurídica en una economía intervenida por una emergencia que se prolonga, con jurisprudencia contradictoria, inflación legislativa e hiperinflación reglamentaria, donde lo único seguro es la transitoriedad”, JA 2003-IV-1016). Pero también es cierto que al tiempo en que el demandado reconviniente reclamó el pago ofreciendo escriturar, no estaban dadas las condiciones para ello toda vez que –como sostiene el magistrado- el Reglamento de Copropiedad y Administración fue aprobado y se registró con posterioridad a la citación a la Escribanía (conf. Informe de fs. 97/98). Esta afirmación no ha sido objeto de crítica por parte del demandado. Así, cabe concluir entonces que al tiempo de la intimación al pago del saldo de precio, el demandado no se encontraba en condiciones de cumplir con la escrituración, por lo que la reconvención deducida bien pudo entenderse como ofrecimiento de cumplir, atento que –como lo señaló en su responde– quien no cumple ni ofrece cumplir no puede exigir el cumplimiento a su cocontratante. En ese contexto, la condena impuesta a ambas partes a cumplir las prestaciones a su cargo debe ser confirmada. Ello es así, por cuanto se ha dicho que la exceptio “puede ser opuesta por vía reconvencional y que en tal hipótesis ambas partes deben ser condenadas a cumplir. Pero tal como lo sostiene la jurisprudencia ya se oponga como defensa o reconvención es siempre de carácter dilatorio pues solo demora el cumplimiento de su obligación hasta que se cumpla o se ofrezca cumplir la obligación correspectiva impuesta a la otra parte”. (AZAR, María J., Excepciones de incumplimiento. “Exceptio non adimpleti contractus”, LLNOA 1998, 1267, www.laleyonline.com.ar). 5. La aplicación de las normas de la emergencia. Sobre esta cuestión, en sus memoriales las partes postulan la aplicación de la teoría del esfuerzo compartido. Es sabido que uno de los límites del Tribunal de la Alzada está dado por las cuestiones propuestas por los litigantes al inferior. Así, el art. 775 Procesal dispone que “en el recurso de apelación el tribunal no podrá resolver ninguna cuestión que no haya sido propuesta a decisión del inferior…”. Al respecto se ha sostenido que “El art. 775 procesal es claro y terminante en tanto dispone que el tribunal de alzada podrá resolver sobre las cuestiones que habiendo sido propuestas a decisión del inferior, no fueron resueltas por aquel en razón de la solución que dio al caso. Nótese que la dispositiva alude a que las cuestiones que limitan los poderes del tribunal se refieren a las que fueron propuestas a la decisión del juez inferior y no a las que fueron resueltas por este”. (CSJT, in re “Servicios Agropecuarios S.R.L. vs Diaz Eugenio y Jorge Diaz S.H. y otros s/Cobros (Ordinario)”, sentencia nº 95, del 04/03/2005). Cabe desestimar entonces esta postulación, agregándose a ello la insuficiencia de los escritos recursivos, que no contienen la crítica concreta y razonada que muestre a este Tribunal lo erróneo del criterio seguido por el sentenciante y la postura contradictoria de la propia accionante que en su demanda reclamó la “aplicación del decreto 214/02”, cuyo art. 8 dispone que “… las obligaciones exigibles de dar sumas de dinero, expresadas en dólares estadounidenses u otra moneda extranjera, no vinculadas al sistema financiero, cualquiera sea su origen o naturaleza, se convertirán a razón de U$S1 = $1, aplicándose a ellas lo dispuesto en el art. 4 del presente decreto…”. Ell aludido art. 4 de dicha norma, se refiere al coeficiente de estabilización de referencia (CER) que debe aplicarse a partir de la fecha de dictado del decreto, y a la aplicación de una tasa de interés mínima para los depósitos y máxima para los préstamos. Es decir que la condena a abonar la suma reclamada en la reconvención, con más el CER, es la solución legal que surge de las normas cuya aplicación al caso reclamó la actora, lo cual torna incomprensible e improcedentes sus quejas. No debe olvidarse, por otro lado, que ninguna de las partes planteó la inconstitucionalidad de la normativa de emergencia, por lo que encuadrando la litis en las previsiones de la misma es un imperativo del juez su aplicación irrestricta. Tampoco los agravios del demandado se hacen cargo de la afirmación del Sr. Juez a–quo de que el régimen de emergencia resulta aplicable a las obligaciones en mora, conforme Ley 25820. Sobre el particular la Corte local ha dicho que “Desde que la ley 25820 estableció que corresponde pesificar 1 a 1 las deudas pactadas en dólares que se encontraban en mora al 6/1/2002, ninguna duda puede haber de que la legislación de emergencia comprende a esas deudas en divisas. Se cerró así el debate referido al alcance del art. 11 ley 25561</w:t>
      </w:r>
      <w:r>
        <w:rPr>
          <w:rFonts w:ascii="Arial Narrow" w:hAnsi="Arial Narrow"/>
          <w:spacing w:val="-2"/>
          <w:sz w:val="24"/>
          <w:szCs w:val="24"/>
          <w:lang w:val="es-AR"/>
        </w:rPr>
        <w:t xml:space="preserve"> </w:t>
      </w:r>
      <w:r>
        <w:rPr>
          <w:rFonts w:ascii="Arial Narrow" w:hAnsi="Arial Narrow"/>
          <w:spacing w:val="-2"/>
          <w:sz w:val="24"/>
          <w:szCs w:val="24"/>
          <w:lang w:val="es-ES"/>
        </w:rPr>
        <w:t>(“… prestaciones dinerarias exigibles desde la fecha de promulgación de la presente ley”) y a si el decreto 214/2002 se había excedido del marco legal al abarcar en la pesificación a todas las deudas existentes. En definitiva, el régimen legal de emergencia sólo distingue dos categorías de obligaciones en moneda extranjera: las concertadas con anterioridad a la entrada en vigencia de la ley 25561 –vencieran o no antes de esa fecha-, que quedan comprendidas en la legislación de emergencia, y las concertadas con posterioridad al 6/1/2002, que quedan sujetas a lo dispuesto en los arts. 617 y 619 CCiv. Por ello, la normativa impugnada por el actor resulta indudablemente aplicable a su crédito”. (CSJT, in re “Spuches AntonioM. C. Zapata Beatriz S.”, 01/10/2004, LLNOA 2005 (marzo), 468). Por lo expuesto y como conclusión considero que cabe desestimar el recurso de apelación articulado por el demandado y receptar parcialmente la apelación promovida por la actora, en contra de la sentencia de fecha 24 de febrero de 2006 (fs. 209/210), la que se revoca en cuanto rechaza la demanda con costas al accionante vencido. En lo demás, estimo cabe confirmar la decisión del Sr. Juez a-quo de condenar a ambas partes a cumplir con las prestaciones a su cargo, lo que implica que tanto la demanda como la reconvención habran de prosperar parcialmente. 6. La imposición de costas. Siendo que el recurso de la actora prospera parcialmente y que otro tanto sucede respecto a la reconvención, cabe imponer las costas de la Ia. Instancia por su orden (art. 775, tercer párrafo y 109 del CPCC). V. Las costas de esta instancia serán soportadas en el orden causado considerando la existencia de vencimientos recíprocos, existiendo además razón probable para litigar, ya que “la cuestión relativa a la pesificación de las obligaciones en moneda extranjera ha generado un verdadero caos jurisprudencial en el país. Al momento del dictado de esta sentencia la Corte Federal sigue sin pronunciarse sobre esta cuestión, desde que en este caso: (a) no se trata de sumas depositadas en un banco; (b) aunque así fuese, en la causa del 5/3/2003 recaída in re “Provincia de San Luis v. Bco. Nación” (ED 201-375, LL 2003-A-537, entre otros) el tribunal ha repetido una y otra vez que lo allí resuelto no debe ser tomado como caso rector para otros supuestos. Se está a la espera de una decisión del máximo tribunal de la Republica para adaptarse a esa solución y evitar soluciones disonantes que solo traerían mayor inseguridad jurídica. Sin embargo, dados los términos perentorios que rigen a esta sala, debemos pronunciarnos aun sin esos lineamientos”. “SCJMendoza, Sala 1</w:t>
      </w:r>
      <w:r>
        <w:rPr>
          <w:rFonts w:ascii="Arial Narrow" w:hAnsi="Arial Narrow"/>
          <w:spacing w:val="-2"/>
          <w:sz w:val="24"/>
          <w:szCs w:val="24"/>
          <w:lang w:val="es-AR"/>
        </w:rPr>
        <w:t xml:space="preserve">ª., in re “Teruel, Santiago y otros v. Dalvian S.A. s/inc. Por Corvalan Nanclares, Pablo y otros, 24/11/2003, JA 2003-IV-625). Y que la Corte local ha dicho: “en cuanto a las costas, corresponde imponerlas por su orden, considerando las particularidades, complejidad y lo novedoso de la cuestión que se resuelve, que ha dado lugar a la jurisprudencia y doctrinas contradictorias”. (CSJT, Sala Civil y Penal, in re “Spuches Antonio M. C. Zapata Beatriz S.”, 01/10/2004 LLNOA 2005 (marzo), 468). Lo expuesto conforme lo establecido por los arts. 108 in fine y 109 del CPCC. Mi voto.- </w:t>
      </w:r>
      <w:r>
        <w:rPr>
          <w:rFonts w:ascii="Arial Narrow" w:hAnsi="Arial Narrow"/>
          <w:b/>
          <w:bCs/>
          <w:spacing w:val="-2"/>
          <w:sz w:val="24"/>
          <w:szCs w:val="24"/>
          <w:u w:val="single"/>
          <w:lang w:val="es-AR"/>
        </w:rPr>
        <w:t xml:space="preserve">La Sra. Vocal MARTHA E. GONZALEZ DE PONSSA, DIJO: </w:t>
      </w:r>
      <w:r>
        <w:rPr>
          <w:rFonts w:ascii="Arial Narrow" w:hAnsi="Arial Narrow"/>
          <w:spacing w:val="-2"/>
          <w:sz w:val="24"/>
          <w:szCs w:val="24"/>
          <w:lang w:val="es-AR"/>
        </w:rPr>
        <w:t xml:space="preserve">Que estando de acuerdo con los fundamentos dados por el Sr. Vocal preopinante, se adhiere a los mismos, votando en igual sentido.- </w:t>
      </w:r>
      <w:r>
        <w:rPr>
          <w:rFonts w:ascii="Arial Narrow" w:hAnsi="Arial Narrow"/>
          <w:b/>
          <w:bCs/>
          <w:spacing w:val="-2"/>
          <w:sz w:val="24"/>
          <w:szCs w:val="24"/>
          <w:u w:val="single"/>
          <w:lang w:val="es-AR"/>
        </w:rPr>
        <w:t>Y VISTOS:</w:t>
      </w:r>
      <w:r>
        <w:rPr>
          <w:rFonts w:ascii="Arial Narrow" w:hAnsi="Arial Narrow"/>
          <w:b/>
          <w:bCs/>
          <w:spacing w:val="-2"/>
          <w:sz w:val="24"/>
          <w:szCs w:val="24"/>
          <w:lang w:val="es-AR"/>
        </w:rPr>
        <w:t xml:space="preserve"> </w:t>
      </w:r>
      <w:r>
        <w:rPr>
          <w:rFonts w:ascii="Arial Narrow" w:hAnsi="Arial Narrow"/>
          <w:spacing w:val="-2"/>
          <w:sz w:val="24"/>
          <w:szCs w:val="24"/>
          <w:lang w:val="es-AR"/>
        </w:rPr>
        <w:t xml:space="preserve">El resultado de la votación consignada precedentemente, se: </w:t>
      </w:r>
      <w:r>
        <w:rPr>
          <w:rFonts w:ascii="Arial Narrow" w:hAnsi="Arial Narrow"/>
          <w:b/>
          <w:bCs/>
          <w:spacing w:val="-2"/>
          <w:sz w:val="24"/>
          <w:szCs w:val="24"/>
          <w:lang w:val="es-AR"/>
        </w:rPr>
        <w:t>RESUELVE:</w:t>
      </w:r>
      <w:r>
        <w:rPr>
          <w:rFonts w:ascii="Arial Narrow" w:hAnsi="Arial Narrow"/>
          <w:spacing w:val="-2"/>
          <w:sz w:val="24"/>
          <w:szCs w:val="24"/>
          <w:lang w:val="es-AR"/>
        </w:rPr>
        <w:t xml:space="preserve"> I. REVOCAR parcialmente la sentencia </w:t>
      </w:r>
      <w:r>
        <w:rPr>
          <w:rFonts w:ascii="Arial Narrow" w:hAnsi="Arial Narrow"/>
          <w:spacing w:val="-2"/>
          <w:sz w:val="24"/>
          <w:szCs w:val="24"/>
          <w:lang w:val="es-ES"/>
        </w:rPr>
        <w:t xml:space="preserve">de fecha 24 de febrero de 2006 (fs.209/210), DISPONIENSOSE HACER LUGAR parcialmente a la demanda y CONFIRMANDOSE en cuanto dispone acoger la reconvención, CONDENÁNDOSE en consecuencia a ambas partes a cumplir con sus obligaciones recíprocas en la forma que ha sido considerada por el Sr. Juez a-quo. II COSTAS, como se consideran. III. DIFERIR pronunciamiento sobre honorarios para su oportunidad. </w:t>
      </w:r>
      <w:r>
        <w:rPr>
          <w:rFonts w:ascii="Arial Narrow" w:hAnsi="Arial Narrow"/>
          <w:b/>
          <w:spacing w:val="-2"/>
          <w:sz w:val="24"/>
          <w:szCs w:val="24"/>
          <w:lang w:val="es-ES"/>
        </w:rPr>
        <w:t>HAGASE SABER</w:t>
      </w:r>
      <w:r>
        <w:rPr>
          <w:rFonts w:ascii="Arial Narrow" w:hAnsi="Arial Narrow"/>
          <w:spacing w:val="-2"/>
          <w:sz w:val="24"/>
          <w:szCs w:val="24"/>
          <w:lang w:val="es-ES"/>
        </w:rPr>
        <w:t>. Hay dos firmas ilegibles y dos aclaraciones que dicen RICARDO JORGE ROBINSON – MARTHA E. GONZALEZ DE PONSSA. Ante mi: Hay una firma ilegible y una aclaración que dice CLAUDIA MARIA FORTE DE PREBISCH.-</w:t>
      </w:r>
      <w:r>
        <w:rPr>
          <w:rFonts w:ascii="Arial Narrow" w:hAnsi="Arial Narrow"/>
          <w:spacing w:val="-2"/>
          <w:sz w:val="22"/>
          <w:szCs w:val="22"/>
          <w:lang w:val="es-ES"/>
        </w:rPr>
        <w:t xml:space="preserve"> </w:t>
      </w:r>
      <w:r>
        <w:rPr>
          <w:rFonts w:ascii="Arial Narrow" w:hAnsi="Arial Narrow"/>
          <w:b/>
          <w:spacing w:val="-2"/>
          <w:sz w:val="22"/>
          <w:szCs w:val="22"/>
          <w:lang w:val="es-ES"/>
        </w:rPr>
        <w:t>A fojas 509</w:t>
      </w:r>
      <w:r>
        <w:rPr>
          <w:rFonts w:ascii="Arial Narrow" w:hAnsi="Arial Narrow"/>
          <w:spacing w:val="-2"/>
          <w:sz w:val="22"/>
          <w:szCs w:val="22"/>
          <w:lang w:val="es-ES"/>
        </w:rPr>
        <w:t xml:space="preserve">: </w:t>
      </w:r>
      <w:r>
        <w:rPr>
          <w:rFonts w:ascii="Arial Narrow" w:hAnsi="Arial Narrow"/>
          <w:spacing w:val="-2"/>
          <w:sz w:val="24"/>
          <w:szCs w:val="24"/>
          <w:lang w:val="es-ES"/>
        </w:rPr>
        <w:t>Resolución Judicial de fecha 23 de Julio de 2013: “</w:t>
      </w:r>
      <w:r>
        <w:rPr>
          <w:rFonts w:ascii="Arial Narrow" w:hAnsi="Arial Narrow"/>
          <w:b/>
          <w:bCs/>
          <w:spacing w:val="-2"/>
          <w:sz w:val="24"/>
          <w:szCs w:val="24"/>
          <w:lang w:val="es-ES"/>
        </w:rPr>
        <w:t>AUTOS Y VISTOS:</w:t>
      </w:r>
      <w:r>
        <w:rPr>
          <w:rFonts w:ascii="Arial Narrow" w:hAnsi="Arial Narrow"/>
          <w:spacing w:val="-2"/>
          <w:sz w:val="24"/>
          <w:szCs w:val="24"/>
          <w:lang w:val="es-ES"/>
        </w:rPr>
        <w:t xml:space="preserve"> para resolver este juicio caratulado: “ALBARRACIN LUISA JUANA ADELAIDA C/ KRASOVITZKY EDUARDO S/ Z- INCUMPLIMIENTO DE CONTRATO”. expte. n° 896/02, y </w:t>
      </w:r>
      <w:r>
        <w:rPr>
          <w:rFonts w:ascii="Arial Narrow" w:hAnsi="Arial Narrow"/>
          <w:b/>
          <w:bCs/>
          <w:spacing w:val="-2"/>
          <w:sz w:val="24"/>
          <w:szCs w:val="24"/>
          <w:lang w:val="es-ES"/>
        </w:rPr>
        <w:t>CONSIDERANDO:</w:t>
      </w:r>
      <w:r>
        <w:rPr>
          <w:rFonts w:ascii="Arial Narrow" w:hAnsi="Arial Narrow"/>
          <w:spacing w:val="-2"/>
          <w:sz w:val="24"/>
          <w:szCs w:val="24"/>
          <w:lang w:val="es-ES"/>
        </w:rPr>
        <w:t xml:space="preserve"> Que debidamente citada de remate la parte ejecutada, ha dejado vencer el termino legal sin oponer excepción legitima, por lo que corresponde dictar sentencia (art. 583 C.P.C.C.).- Por ello,  </w:t>
      </w:r>
      <w:r>
        <w:rPr>
          <w:rFonts w:ascii="Arial Narrow" w:hAnsi="Arial Narrow"/>
          <w:b/>
          <w:bCs/>
          <w:spacing w:val="-2"/>
          <w:sz w:val="24"/>
          <w:szCs w:val="24"/>
          <w:lang w:val="es-ES"/>
        </w:rPr>
        <w:t>RESUELVO: I) ORDENAR</w:t>
      </w:r>
      <w:r>
        <w:rPr>
          <w:rFonts w:ascii="Arial Narrow" w:hAnsi="Arial Narrow"/>
          <w:spacing w:val="-2"/>
          <w:sz w:val="24"/>
          <w:szCs w:val="24"/>
          <w:lang w:val="es-ES"/>
        </w:rPr>
        <w:t xml:space="preserve"> se lleve adelante la ejecución de sentencia seguida por Luisa Juana Adelaida Albarracín en contra de Eduardo Krasovitzky, en consecuencia remítanse los autos a la Escribana de  Pública María Hortensia Avila, adscripta al Registro nº 62 para que efectúe la escritura pública de dominio relativa al inmueble objeto del litigio, sito en calle San Martín nº 182, 4to. Piso, Departamento “A”, Matrícula nº N-37851/15, Padrón Inmobiliario nº 404.448; Matrícula Catastral nº 14312/13339; C I; S 2, Manz./lám. 62, P: 15, Subparcela: SS-15, 04-15 de esta ciudad la que será otorgada por la suscripta, con los gastos y honorarios notariales a cargo del ejecutado, bajo apercibimiento de ser otorgada por el Juez, en caso de incumplimiento (art. 561 CPCCT). </w:t>
      </w:r>
      <w:r>
        <w:rPr>
          <w:rFonts w:ascii="Arial Narrow" w:hAnsi="Arial Narrow"/>
          <w:b/>
          <w:bCs/>
          <w:spacing w:val="-2"/>
          <w:sz w:val="24"/>
          <w:szCs w:val="24"/>
          <w:lang w:val="es-ES"/>
        </w:rPr>
        <w:t>II COSTAS</w:t>
      </w:r>
      <w:r>
        <w:rPr>
          <w:rFonts w:ascii="Arial Narrow" w:hAnsi="Arial Narrow"/>
          <w:spacing w:val="-2"/>
          <w:sz w:val="24"/>
          <w:szCs w:val="24"/>
          <w:lang w:val="es-ES"/>
        </w:rPr>
        <w:t xml:space="preserve"> a los demandados vencidos (art. 105 del C.P.C. y C.).- </w:t>
      </w:r>
      <w:r>
        <w:rPr>
          <w:rFonts w:ascii="Arial Narrow" w:hAnsi="Arial Narrow"/>
          <w:b/>
          <w:bCs/>
          <w:spacing w:val="-2"/>
          <w:sz w:val="24"/>
          <w:szCs w:val="24"/>
          <w:lang w:val="es-ES"/>
        </w:rPr>
        <w:t>III RESERVAR</w:t>
      </w:r>
      <w:r>
        <w:rPr>
          <w:rFonts w:ascii="Arial Narrow" w:hAnsi="Arial Narrow"/>
          <w:spacing w:val="-2"/>
          <w:sz w:val="24"/>
          <w:szCs w:val="24"/>
          <w:lang w:val="es-ES"/>
        </w:rPr>
        <w:t xml:space="preserve"> pronunciamiento sobre honorarios en su oportunidad.- </w:t>
      </w:r>
      <w:r>
        <w:rPr>
          <w:rFonts w:ascii="Arial Narrow" w:hAnsi="Arial Narrow"/>
          <w:b/>
          <w:spacing w:val="-2"/>
          <w:sz w:val="24"/>
          <w:szCs w:val="24"/>
          <w:lang w:val="es-ES"/>
        </w:rPr>
        <w:t xml:space="preserve">HAGASE SABER. </w:t>
      </w:r>
      <w:r>
        <w:rPr>
          <w:rFonts w:ascii="Arial Narrow" w:hAnsi="Arial Narrow"/>
          <w:spacing w:val="-2"/>
          <w:sz w:val="24"/>
          <w:szCs w:val="24"/>
          <w:lang w:val="es-ES"/>
        </w:rPr>
        <w:t xml:space="preserve">Hay una firma ilegible y un sello aclaratorio que dice Dr. RAUL HORACIO BEJAS JUEZ JUZGADO CIVIL Y COMERCIAL COMUN PRIMERA NOMINACION”.- </w:t>
      </w:r>
      <w:r>
        <w:rPr>
          <w:rFonts w:ascii="Arial Narrow" w:hAnsi="Arial Narrow"/>
          <w:b/>
          <w:spacing w:val="-2"/>
          <w:sz w:val="22"/>
          <w:szCs w:val="22"/>
          <w:lang w:val="es-ES"/>
        </w:rPr>
        <w:t>A fojas 547:</w:t>
      </w:r>
      <w:r>
        <w:rPr>
          <w:rFonts w:ascii="Arial Narrow" w:hAnsi="Arial Narrow"/>
          <w:spacing w:val="-2"/>
          <w:sz w:val="22"/>
          <w:szCs w:val="22"/>
          <w:lang w:val="es-ES"/>
        </w:rPr>
        <w:t xml:space="preserve"> Proveído: “San Miguel de Tucuman, 17 de septiembre de 2014: I) Atento lo peticionado y constancias de autos, al préstamo solicitado: no ha lugar. II) Designase al Escribano Sebastián Villagra, a fin de que confeccione la escritura pública de dominio. III) Concurra el escribano Sebastián Villagra a retirar el expediente de Secretaría. Hay una firma ilegible y un sello aclaratorio que dice Dr. RAUL HORACIO BEJAS JUEZ JUZGADO CIVIL Y COMERCIAL COMUN PRIMERA NOMINACION”.- </w:t>
      </w:r>
      <w:r>
        <w:rPr>
          <w:rFonts w:ascii="Arial Narrow" w:hAnsi="Arial Narrow"/>
          <w:b/>
          <w:spacing w:val="-2"/>
          <w:sz w:val="22"/>
          <w:szCs w:val="22"/>
          <w:lang w:val="es-ES"/>
        </w:rPr>
        <w:t>A fojas 713 y 714</w:t>
      </w:r>
      <w:r>
        <w:rPr>
          <w:rFonts w:ascii="Arial Narrow" w:hAnsi="Arial Narrow"/>
          <w:spacing w:val="-2"/>
          <w:sz w:val="22"/>
          <w:szCs w:val="22"/>
          <w:lang w:val="es-ES"/>
        </w:rPr>
        <w:t xml:space="preserve"> Resolución Judicial: San Miguel de Tucumán, 19 de Junio de 2019: “Y VISTOS: Para dictar sentencia en estos autos, y RESULTA Que a fs. 710 se presenta el letrado apoderado de la actora y a fin de poner orden en el proceso y hacer operativa la resolución ejecutoria de fecha 23/07/13 y a la designación realizada mediante decreto de fecha 17/09/14, solicita se dicte resolutoria a través de la cual se haga efectivo el apercibimiento ya resulto y S.S. ordene al escribano designado realizar la escritura correspondiente por orden del Juzgado. A fs. 712 pasan los autos a despacho para resolver. Del análisis de la causa traída a estudio se desprende que en fecha 24/02/06 (fs. 209/210) se dictó sentencia definitiva mediante la cual no se hace lugar a la demanda por incumplimiento de contrato interpuesta por Luisa Juana Adelaida Albarracin en contra de Eduardo Krasovitzky y asimismo se hace lugar a la reconvención deducida por Eduardo Krasovitzky en contra de Luisa Juana Adelaida Albarracin, fijándose un plazo de noventa días desde que la presente sentencia quede firme para que ambas partes cumplan con sus obligaciones recíprocas (es decir que la accionante deberá abonar la suma convenida, pesificada en la forma considerada y el demandado deberá otorgar la escritura pública de dominio); la que fuera modificada por la Alzada mediante resolución de fecha 12/12/06 (fs. 269/273), en cuanto dispone revocar parcialmente la sentencia de fecha 24/02/06 y hacer lugar parcialmente a la demanda, confirmándose la reconvención y en su mérito mediante providencia de fecha 17/05/10 (fs. 402) se tiene presente la designación por parte de la actora de la Escribana Susana Aurora Fernández Suárez, Registro n° 42, a quien se le hace entrega de los presentes autos -en calidad de préstamo y bajo debida constancia- para que confeccione la escritura a los efectos de que ante la misma la parte demandada otorgue la respectiva escritura traslativa de dominio y asimismo indique fecha a fin de que las partes concurran a la Escribanía para cumplir con sus respectivas obligaciones. A fs. 426 se presente el Escribano Sebastián Adolfo Villagra, perteneciente al Registro n° 42 e informa que el accionado no ha comparecido ante la Escribanía para suscribir la escritura traslativa de dominio pese haber sido citado por él en forma fehaciente (cfr. da cuenta la CD n° 140038090 y su aviso de retorno obrante a fs. 424/425), no pudiendo en consecuencia confeccionarse la correspondiente escritura a favor de la parte actora. A fs. 433 el letrado apoderado de la actora solicita que la escritura se realice ante el Escribano Sebastián A. Villagra; designación que resulta acogida mediante proveído de fecha 24/05/11 (fs. 434), teniéndose por iniciada la ejecución de sentencia del 12/02/06 por el letrado apoderado de la actora y en consecuencia, se intima al demandado Krasovitzky Eduardo para que en el término de treinta días otorgue a favor de la actora la escritura pública de dominio del inmueble sito en calle San Martin n° 182, unidad 4° “A” por ante escribano designado, con los gastos y honorarios notariales a cargo del ejecutado, bajo apercibimiento de ser otorgada por el Juez en caso de incumplimiento (art. 561 CPCCT). A fs. 495/496 corre agregado el mandamiento diligenciado por el que se intima al demandado a fin de que en el perentorio término de treinta días otorgue a favor de la actora Luisa Juana Adelaida Albarracin la escritura pública de dominio del inmueble en cuestión por ante el escribano designado Sebastián Villagra. Posteriormente en fecha 04/04/13 (fs. 500) el nuevo letrado apoderado del demandado Dr. Agustín Ponce de León solicita se autorice a su mandante a efectuar los trámites tendientes a otorgar a favor de la actora la escritura pública de dominio del inmueble por intermedio de la Escribana Pública María Hortencia Ávila, Adscripta al Registro N° 62 de la Provincia, corriéndose traslado de la propuesta de sustitución a la actora por el término de cinco días (fs. 502), quien no acepta, ratificando que el demandado otorgue la escritura por ante escribano designado Sebastián Villagra (fs. 505). A fs. 509 en fecha 23/0713 se dicta sentencia de trance y remate y se ordena llevar adelante la ejecución de sentencia seguida por Luisa Juana Adelaida Albarracin en contra de Eduardo Krasovitzky, y en consecuencia se remitan los autos a la Escribana Publica María Hortencia Ávila, adscripta al Registro n° 62 para que efectúe la escritura pública de dominio relativa  al inmueble objeto del litigio, sito en calle San Martin n° 182, 4to. Piso, Departamento “A”, Matricula n° N-37851/15, Padrón Inmobiliario n° 404.448, Matricula Catastral n° 14312/13339, C: I, S: 2, Manz./lam. 62, P: 15, Subparcela: SS-15, 04-15 de esta ciudad la que será otorgada por la suscripta, con los gastos y honorarios notariales a cargo del ejecutado, bajo apercibimiento de ser otorgada por  el Juez, en caso de incumplimiento (art. 561 CPCCT). Mediante cédula obrante a fs. 545 se intima a la Escribana María Hortencia Ávila Registro Notarial n° 62 para que en el plano de cinco días presente la escritura peticionada en autos. A fs. 546 el letrado apoderado de la actora informa que la notaria designada no ha dado cumplimiento con la intimación del Juzgado respecto a la presentación de la escritura de dominio, solicitando que esta última se realice ante el Escribano Sebastián Villagra, ordenando S.S. el otorgamiento de la misma y la realización de todas las medidas que resulten conducentes para tal fin. A fs. 597 el Escribano Sebastián Villagra mediante escrito de fecha 22/10/15 adjunta borrador de escritura, solicitando el análisis de la misma a fin de poder realizar la correspondiente escritura definitiva y el llenado de la documentación pertinente para ser presentada ante el Registro Inmobiliario, la que mediante proveído de fecha 10/11/15 fuera reservada en caja fuerte del Juzgado, ordenándose asimismo que previo a pasar a control de Secretaría, las letradas María Rosa Sallán y Mariana Rodríguez acompañen la conformidad del art. 35 de la ley 5480 y aportes ley 6059 (fs. 598). A fs. 611, 682 y 689 ambas letradas dan cumplimiento con lo ordenado en el proveído de fecha 10/11/15, por lo que en fecha 16/04/18 se procede al control por Secretaría del borrador de escritura oportunamente acompañado por la parte actora (fs. 690). Finalmente a fs. 710 el letrado apoderado de la actora solicita se dicte resolutoria a través de la cual se haga efectivo el apercibimiento ya resuelto y S.S. ordene al escribano designado a realizar la escritura correspondiente. De todo ello se sigue que, el art. 561 CPCC hace referencia al cumplimiento de la sentencia que impone una condena de hacer, de no hacer o de escriturar, y establece que en caso de la sentencia que contiene una condena de hacer alguna cosa, si la parte no cumple con lo que se le ordenó para su ejecución, dentro del plazo señalado por el juez, el acreedor podrá hacerla cumplir por un tercero, si es ello posible. La escrituración u obligación de escriturar es una especie de obligación de hacer, para su cumplimiento la escritura se otorga ante un registro notarial que indica el ejecutante y el juez otorga o suscribe la escritura respectiva y ordena las medidas complementarias que correspondan. El otorgamiento de la escritura por el Juez constituye un caso de ejecución de la obligación con intervención de un tercero, que en el caso, como órgano estatal coadyuva a la satisfacción específica del acreedor. En tal sentido, ha dicho la jurisprudencia: “Si los demandados condenados se resisten a cumplir con su obligación de escriturar, la respectiva escritura, debe ser firmada por el Juez, reservándose la posibilidad de la indemnización de daños y perjuicios solo en supuesto de que dicha escrituración sea imposible de efectuar aun por el magistrado”. (CCCC; Sentencia del 30/08/1996 in re “Llovera Manuel a. vs. Stancanelli V. y otra. s/ cumplimiento de contrato”). Por otro lado, la doctrina comentando el art. 512 C.P.C.N. ha expresado que, “no resulta indispensable que el apercibimiento a que alude el C.P.C.N. 512 y normas concordantes haya sido implícitamente requerido en el escrito de demanda, pues la ejecución del hecho por un tercero (en este caso el juez) constituye una alternativa implícitamente contenida en toda pretensión que persigue el cumplimiento de una obligación de hacer. La petición puede por tanto formularse con posterioridad a la demanda y el apercibimiento decretarse también en el período de ejecución de la sentencia como resorte normal de la potestad de imperio de los jueces” (cfr. Palacio-Alvarado Velloso Código Procesal t. 9 p.135). En merito a lo expuesto, frente al incumplimiento de la condena a escriturar por parte del demandado, y habiendo quedado acreditado en autos el cumplimiento de la prestación a cargo de la actora – abonar la suma convenida- (cfr. boleta de depósito judicial N° 275665 por la suma de $17.222,26 obrante a fs. 279, la que fuera aprobada por resolución de fecha 22/06/09, fs. 361), y de conformidad con lo dispuesto por el art. 561 COCC corresponde a quien suscribe proceder a otorgar la escritura traslativa de dominio a favor de la Sra. Luisa Juana Adelaida Albarracin. Por ello; RESUELVO: HACER LUGAR a lo peticionado por la parte actora. En consecuencia corresponde al Suscripto proceder a la firma de la escritura traslativa de dominio del inmueble objeto del presente juicio identificado con Matrícula Registral nº N-37851/15, cuyos restantes datos y características surgen de autos, a favor de Luisa Juana Adelaida Albarracín. HÁGASE SABER. Hay una firma ilegible y un sello aclaratorio que dice Dr. ALVARO ZAMORANO JUEZ JUZG. CIVIL Y COMERCIAL DE LA I NOM.”.- Agrego a la presente fotocopia de los mencionados instrumentos.- </w:t>
      </w:r>
      <w:r>
        <w:rPr>
          <w:rFonts w:ascii="Arial Narrow" w:hAnsi="Arial Narrow"/>
          <w:b/>
          <w:bCs/>
          <w:spacing w:val="-2"/>
          <w:sz w:val="22"/>
          <w:szCs w:val="22"/>
          <w:u w:val="single"/>
          <w:lang w:val="es-ES"/>
        </w:rPr>
        <w:t>NATURALEZA Y OBJETO DEL ACTO: VENTA</w:t>
      </w:r>
      <w:r>
        <w:rPr>
          <w:rFonts w:ascii="Arial Narrow" w:hAnsi="Arial Narrow"/>
          <w:spacing w:val="-2"/>
          <w:sz w:val="22"/>
          <w:szCs w:val="22"/>
          <w:lang w:val="es-ES"/>
        </w:rPr>
        <w:t xml:space="preserve">: Y </w:t>
      </w:r>
      <w:r>
        <w:rPr>
          <w:rFonts w:ascii="Arial Narrow" w:hAnsi="Arial Narrow"/>
          <w:spacing w:val="-2"/>
          <w:sz w:val="22"/>
          <w:szCs w:val="22"/>
          <w:lang w:val="es-ES"/>
        </w:rPr>
        <w:t>el Sr.</w:t>
      </w:r>
      <w:r>
        <w:rPr>
          <w:rFonts w:ascii="Arial Narrow" w:hAnsi="Arial Narrow"/>
          <w:spacing w:val="-2"/>
          <w:sz w:val="22"/>
          <w:szCs w:val="22"/>
          <w:lang w:val="es-ES"/>
        </w:rPr>
        <w:t xml:space="preserve"> Juez, Dr. </w:t>
      </w:r>
      <w:r>
        <w:rPr>
          <w:rFonts w:ascii="Arial Narrow" w:hAnsi="Arial Narrow"/>
          <w:spacing w:val="-2"/>
          <w:sz w:val="22"/>
          <w:szCs w:val="22"/>
          <w:lang w:val="es-ES"/>
        </w:rPr>
        <w:t>Pedro Manuel Ramón</w:t>
      </w:r>
      <w:r>
        <w:rPr>
          <w:rFonts w:ascii="Arial Narrow" w:hAnsi="Arial Narrow"/>
          <w:spacing w:val="-2"/>
          <w:sz w:val="22"/>
          <w:szCs w:val="22"/>
          <w:shd w:fill="auto" w:val="clear"/>
          <w:lang w:val="es-ES"/>
        </w:rPr>
        <w:t xml:space="preserve"> Pérez</w:t>
      </w:r>
      <w:r>
        <w:rPr>
          <w:rFonts w:ascii="Arial Narrow" w:hAnsi="Arial Narrow"/>
          <w:spacing w:val="-2"/>
          <w:sz w:val="22"/>
          <w:szCs w:val="22"/>
          <w:lang w:val="es-ES"/>
        </w:rPr>
        <w:t xml:space="preserve">, de conformidad a lo resuelto y precedentemente transcripto, suscribe la presente escritura traslativa de dominio en cumplimiento de la sentencia recaída en autos, a favor de la señora </w:t>
      </w:r>
      <w:r>
        <w:rPr>
          <w:rFonts w:ascii="Arial Narrow" w:hAnsi="Arial Narrow"/>
          <w:b/>
          <w:spacing w:val="-2"/>
          <w:sz w:val="22"/>
          <w:szCs w:val="22"/>
          <w:lang w:val="es-ES"/>
        </w:rPr>
        <w:t>Luisa Juana Adelaida ALBARRACIN</w:t>
      </w:r>
      <w:r>
        <w:rPr>
          <w:rFonts w:ascii="Arial Narrow" w:hAnsi="Arial Narrow"/>
          <w:spacing w:val="-2"/>
          <w:sz w:val="22"/>
          <w:szCs w:val="22"/>
          <w:lang w:val="es-ES"/>
        </w:rPr>
        <w:t xml:space="preserve">, de una Unidad Funcional parte integrante del inmueble ubicado en la Zona Norte de esta Ciudad sobre calle San Martín nº 182, identificada como </w:t>
      </w:r>
      <w:r>
        <w:rPr>
          <w:rFonts w:ascii="Arial Narrow" w:hAnsi="Arial Narrow"/>
          <w:spacing w:val="-2"/>
          <w:sz w:val="22"/>
          <w:szCs w:val="22"/>
          <w:shd w:fill="FFFFFF" w:val="clear"/>
          <w:lang w:val="es-ES"/>
        </w:rPr>
        <w:t xml:space="preserve">UNIDAD N°4 “A”, </w:t>
      </w:r>
      <w:r>
        <w:rPr>
          <w:rFonts w:ascii="Arial Narrow" w:hAnsi="Arial Narrow"/>
          <w:spacing w:val="-2"/>
          <w:sz w:val="22"/>
          <w:szCs w:val="22"/>
          <w:lang w:val="es-ES"/>
        </w:rPr>
        <w:t>compuesta de las siguientes superficies: SUPERFICIE TOTAL: 56,0583m2.; SUPERFIE COMUN USO EXCLUSIVO BALCON: 6,5580m2.; SUPERFICIE COMUN USO COMUN CUBIERTA: 23,4560m2.; SUPERFICIE C</w:t>
      </w:r>
      <w:bookmarkStart w:id="1" w:name="_GoBack"/>
      <w:bookmarkEnd w:id="1"/>
      <w:r>
        <w:rPr>
          <w:rFonts w:ascii="Arial Narrow" w:hAnsi="Arial Narrow"/>
          <w:spacing w:val="-2"/>
          <w:sz w:val="22"/>
          <w:szCs w:val="22"/>
          <w:lang w:val="es-ES"/>
        </w:rPr>
        <w:t xml:space="preserve">OMUN USO COMUN SEMICUBIERTA: 0,8133m2.; SUPERFICIE COMUN USO COMUN NO CUBIERTA: 7,8652m2. PORCENTUAL: 3,6436%.- </w:t>
      </w:r>
      <w:r>
        <w:rPr>
          <w:rFonts w:ascii="Arial Narrow" w:hAnsi="Arial Narrow"/>
          <w:b/>
          <w:spacing w:val="-2"/>
          <w:sz w:val="22"/>
          <w:szCs w:val="22"/>
          <w:u w:val="single"/>
          <w:lang w:val="es-ES"/>
        </w:rPr>
        <w:t>NOMENCLATURA CATASTRAL</w:t>
      </w:r>
      <w:r>
        <w:rPr>
          <w:rFonts w:ascii="Arial Narrow" w:hAnsi="Arial Narrow"/>
          <w:spacing w:val="-2"/>
          <w:sz w:val="22"/>
          <w:szCs w:val="22"/>
          <w:lang w:val="es-ES"/>
        </w:rPr>
        <w:t xml:space="preserve">: Padrón: 404.448; Mat/Orden: 14312/13339; C: I; Sección: 2; M o L: 62; Parcela: 15. Subparcela: SS-15; 04-15. Valuación Fiscal: $             . Certificado Catastral Nº          .- </w:t>
      </w:r>
      <w:r>
        <w:rPr>
          <w:rFonts w:ascii="Arial Narrow" w:hAnsi="Arial Narrow"/>
          <w:spacing w:val="-3"/>
          <w:sz w:val="22"/>
          <w:szCs w:val="22"/>
          <w:lang w:val="es-ES"/>
        </w:rPr>
        <w:t xml:space="preserve">Las medidas, linderos y demás circunstancias que individualizan al inmueble general donde se asienta el edificio fueron consignadas en la escritura de Afectación al Régimen de Propiedad Horizontal y Constitución del Reglamento de Copropiedad y Administración, mediante </w:t>
      </w:r>
      <w:r>
        <w:rPr>
          <w:rFonts w:ascii="Arial Narrow" w:cs="Arial" w:hAnsi="Arial Narrow"/>
          <w:spacing w:val="-3"/>
          <w:sz w:val="22"/>
          <w:szCs w:val="22"/>
          <w:lang w:val="es-ES"/>
        </w:rPr>
        <w:t xml:space="preserve">escritura nº </w:t>
      </w:r>
      <w:r>
        <w:rPr>
          <w:rFonts w:ascii="Arial Narrow" w:hAnsi="Arial Narrow"/>
          <w:spacing w:val="-2"/>
          <w:sz w:val="22"/>
          <w:szCs w:val="22"/>
          <w:lang w:val="es-ES"/>
        </w:rPr>
        <w:t>268 de fecha 20 de Diciembre del año 2001, pasada por ante la escribana de esta Provincia María Hortensia Avila, testimonio inscripto en el Registro Inmobiliario en la Matricula Registral N-37851/1 a</w:t>
      </w:r>
      <w:r>
        <w:rPr>
          <w:rFonts w:ascii="Arial Narrow" w:cs="Arial" w:hAnsi="Arial Narrow"/>
          <w:spacing w:val="-3"/>
          <w:sz w:val="22"/>
          <w:szCs w:val="22"/>
          <w:lang w:val="es-ES"/>
        </w:rPr>
        <w:t>.-</w:t>
      </w:r>
      <w:r>
        <w:rPr>
          <w:rFonts w:ascii="Arial Narrow" w:hAnsi="Arial Narrow"/>
          <w:spacing w:val="-3"/>
          <w:sz w:val="22"/>
          <w:szCs w:val="22"/>
          <w:lang w:val="es-ES"/>
        </w:rPr>
        <w:t xml:space="preserve"> Se incluye en la presente venta la correspondiente parte indivisa sobre el terreno en que se halla construido el edificio general, y sobre las cosas comunes de este último, instalaciones de agua corriente, electricidad, e instalaciones para el servicio común, y en general todas las cosas comunes e instalaciones establecidas par</w:t>
      </w:r>
      <w:r>
        <w:rPr>
          <w:rFonts w:ascii="Arial Narrow" w:hAnsi="Arial Narrow"/>
          <w:spacing w:val="-3"/>
          <w:sz w:val="22"/>
          <w:szCs w:val="22"/>
          <w:shd w:fill="auto" w:val="clear"/>
          <w:lang w:val="es-ES"/>
        </w:rPr>
        <w:t xml:space="preserve">a el servicio común, ya comprendidas en el respectivo Reglamento de Copropiedad y Administración.- </w:t>
      </w:r>
      <w:r>
        <w:rPr>
          <w:rFonts w:ascii="Arial Narrow" w:hAnsi="Arial Narrow"/>
          <w:b/>
          <w:bCs/>
          <w:spacing w:val="-2"/>
          <w:sz w:val="22"/>
          <w:szCs w:val="22"/>
          <w:u w:val="single"/>
          <w:shd w:fill="auto" w:val="clear"/>
          <w:lang w:val="es-ES"/>
        </w:rPr>
        <w:t>PRECIO DE VENTA</w:t>
      </w:r>
      <w:r>
        <w:rPr>
          <w:rFonts w:ascii="Arial Narrow" w:hAnsi="Arial Narrow"/>
          <w:spacing w:val="-2"/>
          <w:sz w:val="22"/>
          <w:szCs w:val="22"/>
          <w:shd w:fill="auto" w:val="clear"/>
          <w:lang w:val="es-ES"/>
        </w:rPr>
        <w:t xml:space="preserve">: La presente Venta se realizó por el PRECIO total y convenido de DOLARES BILLETES ESTADOUNIDENSES CUARENTA Y NUEVE MIL NOVECIENTOS (u$s49.900), importe que fuera abonado por la parte demandante al vendedor con anterioridad a este acto conforme surge del Boleto de Compraventa de fecha 20 de Julio del año 2000, el que en copia agrego como cabeza de la presente y de las constancias del expediente antes mencionado -en especial sentencia </w:t>
      </w:r>
      <w:r>
        <w:rPr>
          <w:rFonts w:ascii="Arial Narrow" w:cs="Arial" w:hAnsi="Arial Narrow"/>
          <w:spacing w:val="-2"/>
          <w:sz w:val="22"/>
          <w:szCs w:val="22"/>
          <w:shd w:fill="auto" w:val="clear"/>
          <w:lang w:val="es-ES"/>
        </w:rPr>
        <w:t xml:space="preserve">de fecha  23/07/2013 y 19/06/2019 - </w:t>
      </w:r>
      <w:r>
        <w:rPr>
          <w:rFonts w:ascii="Arial Narrow" w:cs="Arial" w:hAnsi="Arial Narrow"/>
          <w:sz w:val="22"/>
          <w:szCs w:val="22"/>
          <w:shd w:fill="auto" w:val="clear"/>
        </w:rPr>
        <w:t xml:space="preserve">habiendo quedado acreditado el cumplimiento de la prestación a cargo de la la Sra. Luisa Juana Adelaida Albarracin -abonar la suma convenida- (cfr. boleta de depósito judicial Nº 275665 por la suma de $17.222,26 obrante a fs. 279, la que fuera aprobada por resolución de fecha 22/06/09, fs. 361), </w:t>
      </w:r>
      <w:r>
        <w:rPr>
          <w:rFonts w:ascii="Arial Narrow" w:cs="Arial" w:hAnsi="Arial Narrow"/>
          <w:spacing w:val="-2"/>
          <w:sz w:val="22"/>
          <w:szCs w:val="22"/>
          <w:shd w:fill="auto" w:val="clear"/>
          <w:lang w:val="es-ES"/>
        </w:rPr>
        <w:t>sirviendo como consecuencia la presente escritura de suficiente recibo y carta de pago.</w:t>
      </w:r>
      <w:r>
        <w:rPr>
          <w:rFonts w:ascii="Arial Narrow" w:hAnsi="Arial Narrow"/>
          <w:spacing w:val="-2"/>
          <w:sz w:val="22"/>
          <w:szCs w:val="22"/>
          <w:shd w:fill="auto" w:val="clear"/>
          <w:lang w:val="es-ES"/>
        </w:rPr>
        <w:t xml:space="preserve"> En consecuencia el señor Juez por la representación que ejerce le transmite todos los derechos de propiedad, dominio y posesión que la parte Vendedora tenía sobre el inmueble precedentemente descripto, para que disponga de él como legítima dueña, obligando a la parte Vendedora a responder por evicción y vicios redhibitorios conforme a derecho. Las partes manifiestan que la tradición fue verificada con anterioridad a este acto, agregando la compradora que se encuentra en posesión real, material y efectiva del inmueble que por este acto adquiere. </w:t>
      </w:r>
      <w:r>
        <w:rPr>
          <w:rFonts w:ascii="Arial Narrow" w:hAnsi="Arial Narrow"/>
          <w:b/>
          <w:spacing w:val="-2"/>
          <w:sz w:val="22"/>
          <w:szCs w:val="22"/>
          <w:u w:val="single"/>
          <w:shd w:fill="auto" w:val="clear"/>
          <w:lang w:val="es-ES"/>
        </w:rPr>
        <w:t>ACEPTACION</w:t>
      </w:r>
      <w:r>
        <w:rPr>
          <w:rFonts w:ascii="Arial Narrow" w:hAnsi="Arial Narrow"/>
          <w:spacing w:val="-2"/>
          <w:sz w:val="22"/>
          <w:szCs w:val="22"/>
          <w:shd w:fill="auto" w:val="clear"/>
          <w:lang w:val="es-ES"/>
        </w:rPr>
        <w:t xml:space="preserve">: Impuesta la señora Luisa Juana Adelaida ALBARRACIN del contenido de la presente escritura de venta otorgada a su favor, manifiesta su conformidad y la ACEPTA en todos sus términos. </w:t>
      </w:r>
      <w:r>
        <w:rPr>
          <w:rFonts w:ascii="Arial Narrow" w:hAnsi="Arial Narrow"/>
          <w:b/>
          <w:bCs/>
          <w:spacing w:val="-2"/>
          <w:sz w:val="22"/>
          <w:szCs w:val="22"/>
          <w:u w:val="single"/>
          <w:shd w:fill="auto" w:val="clear"/>
          <w:lang w:val="es-ES"/>
        </w:rPr>
        <w:t>CONSTANCIAS NOTARIALES</w:t>
      </w:r>
      <w:r>
        <w:rPr>
          <w:rFonts w:ascii="Arial Narrow" w:hAnsi="Arial Narrow"/>
          <w:spacing w:val="-2"/>
          <w:sz w:val="22"/>
          <w:szCs w:val="22"/>
          <w:shd w:fill="auto" w:val="clear"/>
          <w:lang w:val="es-ES"/>
        </w:rPr>
        <w:t xml:space="preserve">: a) </w:t>
      </w:r>
      <w:r>
        <w:rPr>
          <w:rFonts w:ascii="Arial Narrow" w:hAnsi="Arial Narrow"/>
          <w:b/>
          <w:bCs/>
          <w:spacing w:val="-2"/>
          <w:sz w:val="22"/>
          <w:szCs w:val="22"/>
          <w:u w:val="single"/>
          <w:shd w:fill="auto" w:val="clear"/>
          <w:lang w:val="es-ES"/>
        </w:rPr>
        <w:t>ANTECEDENTE DE DOMINIO</w:t>
      </w:r>
      <w:r>
        <w:rPr>
          <w:rFonts w:ascii="Arial Narrow" w:hAnsi="Arial Narrow"/>
          <w:spacing w:val="-2"/>
          <w:sz w:val="22"/>
          <w:szCs w:val="22"/>
          <w:shd w:fill="auto" w:val="clear"/>
          <w:lang w:val="es-ES"/>
        </w:rPr>
        <w:t xml:space="preserve">: Le Corresponde al señor Eduardo KRASOVITZKY el inmueble general donde se asienta el edificio por COMPRA que hiciere a la firma ADVENIAT S.A, mediante escritura nº 366 de fecha 15 de Noviembre del año 1995 pasada por ante el escribano de esta provincia Gonzalo Padilla, testimonio inscripto en el Registro Inmobiliario en la Matrícula N-37851; posteriormente fue afectado al Régimen de Propiedad Horizontal mediante escritura nº 268 de fecha 20 de Diciembre del año 2001, pasada por ante la escribana de esta Provincia María Hortensia Avila, testimonio inscripto en el Registro Inmobiliario en la Matricula Registral N-37851/ 1 a  .- b) </w:t>
      </w:r>
      <w:r>
        <w:rPr>
          <w:rFonts w:ascii="Arial Narrow" w:hAnsi="Arial Narrow"/>
          <w:b/>
          <w:bCs/>
          <w:spacing w:val="-2"/>
          <w:sz w:val="22"/>
          <w:szCs w:val="22"/>
          <w:u w:val="single"/>
          <w:shd w:fill="auto" w:val="clear"/>
          <w:lang w:val="es-ES"/>
        </w:rPr>
        <w:t>CERTIFICADOS ADMINISTRATIVOS</w:t>
      </w:r>
      <w:r>
        <w:rPr>
          <w:rFonts w:ascii="Arial Narrow" w:hAnsi="Arial Narrow"/>
          <w:spacing w:val="-2"/>
          <w:sz w:val="22"/>
          <w:szCs w:val="22"/>
          <w:shd w:fill="auto" w:val="clear"/>
          <w:lang w:val="es-ES"/>
        </w:rPr>
        <w:t xml:space="preserve">: Del expedido por el Registro Inmobiliario, bajo el nº         de fecha  de              del año en curso, resulta: Que el titular de dominio no se encuentran inhibido para disponer de sus bienes, y que el inmueble objeto de este acto consta inscripto en la forma expresada, y lo deslindado no registra embargos, hipotecas, restricciones, interdicciones ni otros derechos reales. </w:t>
      </w:r>
      <w:r>
        <w:rPr>
          <w:rFonts w:ascii="Arial Narrow" w:hAnsi="Arial Narrow"/>
          <w:spacing w:val="-3"/>
          <w:sz w:val="22"/>
          <w:szCs w:val="22"/>
          <w:shd w:fill="auto" w:val="clear"/>
          <w:lang w:val="es-ES"/>
        </w:rPr>
        <w:t>La</w:t>
      </w:r>
      <w:r>
        <w:rPr>
          <w:rFonts w:ascii="Arial Narrow" w:hAnsi="Arial Narrow"/>
          <w:spacing w:val="-2"/>
          <w:sz w:val="22"/>
          <w:szCs w:val="22"/>
          <w:shd w:fill="auto" w:val="clear"/>
          <w:lang w:val="es-ES"/>
        </w:rPr>
        <w:t xml:space="preserve"> compradora declara expresamente de conformidad al artículo 5º de la</w:t>
      </w:r>
      <w:r>
        <w:rPr>
          <w:rFonts w:ascii="Arial Narrow" w:hAnsi="Arial Narrow"/>
          <w:spacing w:val="-2"/>
          <w:sz w:val="22"/>
          <w:szCs w:val="22"/>
          <w:lang w:val="es-ES"/>
        </w:rPr>
        <w:t xml:space="preserve"> Ley Nº 22.427 que asume cualquier deuda que existiere sobre el inmueble en concepto de Impuesto Inmobiliario, Tasas y Servicios Municipales, SAT, expensas, por no estar canceladas, eximiendo de solicitar los libres deudas al Escribano Autorizante. C) </w:t>
      </w:r>
      <w:r>
        <w:rPr>
          <w:rFonts w:ascii="Arial Narrow" w:hAnsi="Arial Narrow"/>
          <w:b/>
          <w:bCs/>
          <w:spacing w:val="-2"/>
          <w:sz w:val="22"/>
          <w:szCs w:val="22"/>
          <w:u w:val="single"/>
          <w:lang w:val="es-ES"/>
        </w:rPr>
        <w:t>RETENCION DGI</w:t>
      </w:r>
      <w:r>
        <w:rPr>
          <w:rFonts w:ascii="Arial Narrow" w:hAnsi="Arial Narrow"/>
          <w:spacing w:val="-2"/>
          <w:sz w:val="22"/>
          <w:szCs w:val="22"/>
          <w:lang w:val="es-ES"/>
        </w:rPr>
        <w:t>: En mi carácter de Agente de Retención, dejo constancia que a la parte vendedora no se le retiene suma alguna en concepto de Impuesto a la Transferencia de Inmuebles por no haber fondos disponibles.- Leída que les es, los comparecientes aprueban el contenido de la presente escritura, y firman de conformidad, por ante mi, de todo lo que doy fe.-</w:t>
      </w:r>
    </w:p>
    <w:p>
      <w:pPr>
        <w:pStyle w:val="style0"/>
        <w:spacing w:line="568" w:lineRule="exact"/>
        <w:jc w:val="both"/>
      </w:pPr>
      <w:r>
        <w:rPr/>
      </w:r>
    </w:p>
    <w:sectPr>
      <w:type w:val="nextPage"/>
      <w:pgSz w:h="16838" w:w="11906"/>
      <w:pgMar w:bottom="731" w:footer="0" w:gutter="0" w:header="0" w:left="2608" w:right="1077" w:top="1871"/>
      <w:pgNumType w:fmt="decimal"/>
      <w:formProt w:val="false"/>
      <w:textDirection w:val="lrTb"/>
      <w:docGrid w:charSpace="32768"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s>
</file>

<file path=word/settings.xml><?xml version="1.0" encoding="utf-8"?>
<w:settings xmlns:w="http://schemas.openxmlformats.org/wordprocessingml/2006/main">
  <w:zoom w:percent="100"/>
</w:settings>
</file>

<file path=word/styles.xml><?xml version="1.0" encoding="utf-8"?>
<w:styles xmlns:w="http://schemas.openxmlformats.org/wordprocessingml/2006/main">
  <w:style w:styleId="style0" w:type="paragraph">
    <w:name w:val="Predeterminado"/>
    <w:next w:val="style0"/>
    <w:pPr>
      <w:widowControl w:val="false"/>
      <w:tabs/>
      <w:suppressAutoHyphens w:val="true"/>
      <w:spacing w:after="0" w:before="0" w:line="100" w:lineRule="atLeast"/>
      <w:contextualSpacing w:val="false"/>
    </w:pPr>
    <w:rPr>
      <w:rFonts w:ascii="Courier" w:cs="Times New Roman" w:eastAsia="Times New Roman" w:hAnsi="Courier"/>
      <w:color w:val="00000A"/>
      <w:sz w:val="20"/>
      <w:szCs w:val="20"/>
      <w:lang w:bidi="ar-SA" w:eastAsia="es-ES" w:val="es-ES"/>
    </w:rPr>
  </w:style>
  <w:style w:styleId="style15" w:type="character">
    <w:name w:val="Default Paragraph Font"/>
    <w:next w:val="style15"/>
    <w:rPr/>
  </w:style>
  <w:style w:styleId="style16" w:type="paragraph">
    <w:name w:val="Encabezado"/>
    <w:basedOn w:val="style0"/>
    <w:next w:val="style17"/>
    <w:pPr>
      <w:keepNext/>
      <w:spacing w:after="120" w:before="240"/>
      <w:contextualSpacing w:val="false"/>
    </w:pPr>
    <w:rPr>
      <w:rFonts w:ascii="Arial" w:cs="Arial" w:eastAsia="Microsoft YaHei" w:hAnsi="Arial"/>
      <w:sz w:val="28"/>
      <w:szCs w:val="28"/>
    </w:rPr>
  </w:style>
  <w:style w:styleId="style17" w:type="paragraph">
    <w:name w:val="Cuerpo de texto"/>
    <w:basedOn w:val="style0"/>
    <w:next w:val="style17"/>
    <w:pPr>
      <w:spacing w:after="120" w:before="0"/>
      <w:contextualSpacing w:val="false"/>
    </w:pPr>
    <w:rPr/>
  </w:style>
  <w:style w:styleId="style18" w:type="paragraph">
    <w:name w:val="Lista"/>
    <w:basedOn w:val="style17"/>
    <w:next w:val="style18"/>
    <w:pPr/>
    <w:rPr>
      <w:rFonts w:cs="Arial"/>
    </w:rPr>
  </w:style>
  <w:style w:styleId="style19" w:type="paragraph">
    <w:name w:val="Etiqueta"/>
    <w:basedOn w:val="style0"/>
    <w:next w:val="style19"/>
    <w:pPr>
      <w:suppressLineNumbers/>
      <w:spacing w:after="120" w:before="120"/>
      <w:contextualSpacing w:val="false"/>
    </w:pPr>
    <w:rPr>
      <w:rFonts w:cs="Arial"/>
      <w:i/>
      <w:iCs/>
      <w:sz w:val="24"/>
      <w:szCs w:val="24"/>
    </w:rPr>
  </w:style>
  <w:style w:styleId="style20" w:type="paragraph">
    <w:name w:val="Índice"/>
    <w:basedOn w:val="style0"/>
    <w:next w:val="style20"/>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94</TotalTime>
  <Application>LibreOffice/3.6$Windows_x86 LibreOffice_project/2ef5aff-a6fb0ff-166bdff-cf087ad-0f1389</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2022-06-21T20:54:00.00Z</dcterms:created>
  <dc:creator>Maria Eugenia</dc:creator>
  <cp:lastModifiedBy>Maria M. Hervas</cp:lastModifiedBy>
  <cp:lastPrinted>2021-11-04T20:29:00.00Z</cp:lastPrinted>
  <dcterms:modified xsi:type="dcterms:W3CDTF">2022-06-23T22:05:00.00Z</dcterms:modified>
  <cp:revision>16</cp:revision>
</cp:coreProperties>
</file>