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634" w:rsidRPr="00753634" w:rsidRDefault="00753634" w:rsidP="00753634">
      <w:pPr>
        <w:autoSpaceDE w:val="0"/>
        <w:autoSpaceDN w:val="0"/>
        <w:adjustRightInd w:val="0"/>
        <w:jc w:val="right"/>
        <w:rPr>
          <w:rFonts w:ascii="Arial" w:hAnsi="Arial" w:cs="Arial"/>
          <w:color w:val="000000"/>
          <w:sz w:val="14"/>
          <w:szCs w:val="14"/>
        </w:rPr>
      </w:pPr>
      <w:r w:rsidRPr="00753634">
        <w:rPr>
          <w:rFonts w:ascii="Arial" w:hAnsi="Arial" w:cs="Arial"/>
          <w:color w:val="000000"/>
          <w:sz w:val="14"/>
          <w:szCs w:val="14"/>
        </w:rPr>
        <w:t>ACTUACIONES N°: 24/19</w:t>
      </w:r>
    </w:p>
    <w:p w:rsidR="00753634" w:rsidRPr="00753634" w:rsidRDefault="00753634" w:rsidP="00753634">
      <w:pPr>
        <w:autoSpaceDE w:val="0"/>
        <w:autoSpaceDN w:val="0"/>
        <w:adjustRightInd w:val="0"/>
        <w:jc w:val="right"/>
        <w:rPr>
          <w:rFonts w:ascii="CCode39" w:hAnsi="CCode39" w:cs="CCode39"/>
          <w:color w:val="000000"/>
          <w:sz w:val="24"/>
          <w:szCs w:val="24"/>
        </w:rPr>
      </w:pPr>
      <w:r w:rsidRPr="00753634">
        <w:rPr>
          <w:rFonts w:ascii="CCode39" w:hAnsi="CCode39" w:cs="CCode39"/>
          <w:color w:val="000000"/>
          <w:sz w:val="24"/>
          <w:szCs w:val="24"/>
        </w:rPr>
        <w:t>*H1001267164*</w:t>
      </w:r>
    </w:p>
    <w:p w:rsidR="00753634" w:rsidRPr="00753634" w:rsidRDefault="00753634" w:rsidP="00753634">
      <w:pPr>
        <w:autoSpaceDE w:val="0"/>
        <w:autoSpaceDN w:val="0"/>
        <w:adjustRightInd w:val="0"/>
        <w:jc w:val="right"/>
        <w:rPr>
          <w:rFonts w:ascii="Arial" w:hAnsi="Arial" w:cs="Arial"/>
          <w:color w:val="000000"/>
          <w:sz w:val="14"/>
          <w:szCs w:val="14"/>
        </w:rPr>
      </w:pPr>
      <w:r w:rsidRPr="00753634">
        <w:rPr>
          <w:rFonts w:ascii="Arial" w:hAnsi="Arial" w:cs="Arial"/>
          <w:b/>
          <w:bCs/>
          <w:color w:val="000000"/>
          <w:sz w:val="14"/>
          <w:szCs w:val="14"/>
        </w:rPr>
        <w:t>H1001267164</w:t>
      </w:r>
    </w:p>
    <w:p w:rsidR="00753634" w:rsidRPr="00753634" w:rsidRDefault="00753634" w:rsidP="00753634">
      <w:pPr>
        <w:autoSpaceDE w:val="0"/>
        <w:autoSpaceDN w:val="0"/>
        <w:adjustRightInd w:val="0"/>
        <w:spacing w:line="360" w:lineRule="exact"/>
        <w:jc w:val="center"/>
        <w:rPr>
          <w:rFonts w:ascii="Arial" w:hAnsi="Arial" w:cs="Arial"/>
          <w:color w:val="000000"/>
          <w:sz w:val="18"/>
          <w:szCs w:val="18"/>
        </w:rPr>
      </w:pPr>
    </w:p>
    <w:p w:rsidR="00753634" w:rsidRPr="00753634" w:rsidRDefault="00753634" w:rsidP="00753634">
      <w:pPr>
        <w:autoSpaceDE w:val="0"/>
        <w:autoSpaceDN w:val="0"/>
        <w:adjustRightInd w:val="0"/>
        <w:spacing w:line="360" w:lineRule="exact"/>
        <w:jc w:val="center"/>
        <w:rPr>
          <w:rFonts w:ascii="Arial" w:hAnsi="Arial" w:cs="Arial"/>
          <w:color w:val="000000"/>
          <w:sz w:val="18"/>
          <w:szCs w:val="18"/>
        </w:rPr>
      </w:pPr>
    </w:p>
    <w:p w:rsidR="00753634" w:rsidRPr="00753634" w:rsidRDefault="00753634" w:rsidP="00753634">
      <w:pPr>
        <w:autoSpaceDE w:val="0"/>
        <w:autoSpaceDN w:val="0"/>
        <w:adjustRightInd w:val="0"/>
        <w:spacing w:line="360" w:lineRule="exact"/>
        <w:jc w:val="center"/>
        <w:rPr>
          <w:rFonts w:ascii="Arial" w:hAnsi="Arial" w:cs="Arial"/>
          <w:color w:val="000000"/>
          <w:sz w:val="28"/>
          <w:szCs w:val="28"/>
        </w:rPr>
      </w:pPr>
      <w:r w:rsidRPr="00753634">
        <w:rPr>
          <w:rFonts w:ascii="Arial" w:hAnsi="Arial" w:cs="Arial"/>
          <w:b/>
          <w:bCs/>
          <w:color w:val="000000"/>
          <w:sz w:val="28"/>
          <w:szCs w:val="28"/>
        </w:rPr>
        <w:t>CORTE SUPREMA DE JUSTICIA DE TUCUMÁN</w:t>
      </w:r>
    </w:p>
    <w:p w:rsidR="00753634" w:rsidRPr="00753634" w:rsidRDefault="00753634" w:rsidP="00753634">
      <w:pPr>
        <w:autoSpaceDE w:val="0"/>
        <w:autoSpaceDN w:val="0"/>
        <w:adjustRightInd w:val="0"/>
        <w:spacing w:line="360" w:lineRule="exact"/>
        <w:rPr>
          <w:rFonts w:ascii="Arial" w:hAnsi="Arial" w:cs="Arial"/>
          <w:color w:val="000000"/>
          <w:sz w:val="24"/>
          <w:szCs w:val="24"/>
        </w:rPr>
      </w:pPr>
    </w:p>
    <w:p w:rsidR="00753634" w:rsidRPr="00753634" w:rsidRDefault="00753634" w:rsidP="00753634">
      <w:pPr>
        <w:autoSpaceDE w:val="0"/>
        <w:autoSpaceDN w:val="0"/>
        <w:adjustRightInd w:val="0"/>
        <w:spacing w:line="360" w:lineRule="exact"/>
        <w:jc w:val="center"/>
        <w:rPr>
          <w:rFonts w:ascii="Arial" w:hAnsi="Arial" w:cs="Arial"/>
          <w:color w:val="000000"/>
          <w:sz w:val="24"/>
          <w:szCs w:val="24"/>
        </w:rPr>
      </w:pPr>
      <w:r w:rsidRPr="00753634">
        <w:rPr>
          <w:rFonts w:ascii="Arial" w:hAnsi="Arial" w:cs="Arial"/>
          <w:b/>
          <w:bCs/>
          <w:color w:val="000000"/>
          <w:sz w:val="24"/>
          <w:szCs w:val="24"/>
        </w:rPr>
        <w:t xml:space="preserve">C A S A C I Ó N  </w:t>
      </w:r>
    </w:p>
    <w:p w:rsidR="00753634" w:rsidRPr="00753634" w:rsidRDefault="00753634" w:rsidP="00753634">
      <w:pPr>
        <w:autoSpaceDE w:val="0"/>
        <w:autoSpaceDN w:val="0"/>
        <w:adjustRightInd w:val="0"/>
        <w:spacing w:line="360" w:lineRule="exact"/>
        <w:rPr>
          <w:rFonts w:ascii="Arial" w:hAnsi="Arial" w:cs="Arial"/>
          <w:color w:val="000000"/>
          <w:sz w:val="24"/>
          <w:szCs w:val="24"/>
        </w:rPr>
      </w:pPr>
      <w:r w:rsidRPr="00753634">
        <w:rPr>
          <w:rFonts w:ascii="Arial" w:hAnsi="Arial" w:cs="Arial"/>
          <w:color w:val="000000"/>
          <w:sz w:val="24"/>
          <w:szCs w:val="24"/>
        </w:rPr>
        <w:t xml:space="preserve"> </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Provincia de Tucumán, reunidos los señores Vocales de la Excma. Corte Suprema de Justicia, de la Sala en lo Civil y Comercial Común, Civil en Familia y Sucesiones y Penal, integrada por los señores Vocales doctores Daniel Leiva, Antonio D. Estofán y Daniel Oscar Posse bajo la Presidencia de su titular doctor Daniel Leiva, para considerar y decidir sobre el recurso de casación interpuesto por la codemandada Acheral S.A. en autos: “</w:t>
      </w:r>
      <w:r w:rsidRPr="00753634">
        <w:rPr>
          <w:rFonts w:ascii="Arial" w:hAnsi="Arial" w:cs="Arial"/>
          <w:b/>
          <w:bCs/>
          <w:i/>
          <w:iCs/>
          <w:color w:val="000000"/>
          <w:sz w:val="24"/>
          <w:szCs w:val="24"/>
        </w:rPr>
        <w:t>Martínez Zuccardi Jorge vs. Acheral S.A. y otros s/ Mediación</w:t>
      </w:r>
      <w:r w:rsidRPr="00753634">
        <w:rPr>
          <w:rFonts w:ascii="Arial" w:hAnsi="Arial" w:cs="Arial"/>
          <w:color w:val="000000"/>
          <w:sz w:val="24"/>
          <w:szCs w:val="24"/>
        </w:rPr>
        <w:t>”.</w:t>
      </w:r>
    </w:p>
    <w:p w:rsidR="00753634" w:rsidRPr="00753634" w:rsidRDefault="00753634" w:rsidP="00753634">
      <w:pPr>
        <w:tabs>
          <w:tab w:val="left" w:pos="3643"/>
          <w:tab w:val="left" w:pos="3672"/>
        </w:tabs>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Establecido el orden de votación de la siguiente manera: doctores Antonio D. Estofán, Daniel Oscar Posse y Daniel Leiva, se procedió a la misma con el siguiente resultado: </w:t>
      </w:r>
    </w:p>
    <w:p w:rsidR="00753634" w:rsidRPr="00753634" w:rsidRDefault="00753634" w:rsidP="00753634">
      <w:pPr>
        <w:autoSpaceDE w:val="0"/>
        <w:autoSpaceDN w:val="0"/>
        <w:adjustRightInd w:val="0"/>
        <w:spacing w:line="360" w:lineRule="exact"/>
        <w:ind w:firstLine="3401"/>
        <w:rPr>
          <w:rFonts w:ascii="Arial" w:hAnsi="Arial" w:cs="Arial"/>
          <w:color w:val="000000"/>
          <w:sz w:val="24"/>
          <w:szCs w:val="24"/>
        </w:rPr>
      </w:pPr>
    </w:p>
    <w:p w:rsidR="00753634" w:rsidRPr="00753634" w:rsidRDefault="00753634" w:rsidP="00753634">
      <w:pPr>
        <w:tabs>
          <w:tab w:val="left" w:pos="504"/>
          <w:tab w:val="left" w:pos="532"/>
          <w:tab w:val="left" w:pos="2721"/>
        </w:tabs>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b/>
          <w:bCs/>
          <w:i/>
          <w:iCs/>
          <w:color w:val="000000"/>
          <w:sz w:val="24"/>
          <w:szCs w:val="24"/>
        </w:rPr>
        <w:t>El señor Vocal doctor Antonio D. Estofán</w:t>
      </w:r>
      <w:r w:rsidRPr="00753634">
        <w:rPr>
          <w:rFonts w:ascii="Arial" w:hAnsi="Arial" w:cs="Arial"/>
          <w:color w:val="000000"/>
          <w:sz w:val="24"/>
          <w:szCs w:val="24"/>
        </w:rPr>
        <w:t>, dijo: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I.- Viene a conocimiento y decisión el recurso de casación interpuesto por la codemandada Acheral S.A. con fecha 26/5/2023, contra la sentencia pronunciada el 09/5/2023 por la Sala II de la Excma. Cámara en lo Civil y Comercial Común del Centro Judicial de Concepción, que fuera concedido por resolución de ese mismo Tribunal de fecha 04/7/2023.</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II.- Como antecedentes relevantes de la causa, se destacan los siguientes: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II.1- Jorge Martínez Zuccardi demandó a Acheral S.A. y a sus administradores y síndico -Manuel Martínez Zuccardi, Juan Francisco Casañas, Eduardo Lucas Fornaciari y Manuel Alberto Courel (h)- el pago de la suma de U$S 11.888, en concepto de intereses moratorios devengados por el pago fuera de término de la fruta que el actor vendiera a la sociedad accionada en la campaña correspondiente al año 2018, que recién fuera abonada parcialmente -en la versión del accionante-, el día 06/6/2019.</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Todos los demandados se opusieron al progreso de la pretensión.</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II.2- Por sentencia pronunciada el 31/10/2022, la magistrada de primera instancia hizo lugar a la demanda interpuesta en contra de Acheral S.A., a la que condenó a abonar al actor la suma de U$S 9.305,79, con más accesorios y costas. En cambio, rechazó la demanda entablada contra Manuel Martínez Zuccardi, Juan Francisco Casañas, Eduardo Lucas Fornaciari y Manuel A. Courel (h), con costas al actor.</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lastRenderedPageBreak/>
        <w:t>II.3- Por su parte, el decisorio impugnado en casación rechazó el recurso de apelación articulado por Acheral S.A. contra el decisorio del Inferior en grado y receptó parcialmente el recurso que el accionante dedujera contra la regulación de honorarios practicada en favor del letrado Gustavo R. Pereyra Jimena, por su actuación en autos como patrocinante de los codemandados Manuel Martínez Zuccardi y Juan Casañas, disminuyendo en consecuencia, los emolumentos determinados en primera instancia.</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En lo que resulta conducente al recurso de casación en trato, la Cámara confirmó tanto la decisión de rechazar las defensas de suspensión de cumplimiento y de compensación que oportunamente dedujera Acheral S.A., cuanto la de imponerle las costas de la acción principal.</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III.- El memorial casatorio en análisis atribuye al fallo en pugna el vicio de arbitrariedad, así como la transgresión y/o aplicación errónea de diversas normas constitucionales, de la legislación de fondo y del ordenamiento adjetivo. Los agravios del recurrente, en apretada síntesis, discurren por tres líneas, a saber:</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III.1- Por una parte, cuestiona el rechazo de la defensa de suspensión de cumplimiento, planteada al tenor de lo normado en el artículo 1.031, CCyCN, sobre la base de la invocada falta de pago por parte del actor de las facturas emitidas por el uso y retención de bienes de pertenencia de la sociedad demandada. La quejosa sostiene al respecto, que en autos quedó demostrado el incumplimiento del actor para con la demandada, derivado de haber puesto aquél a disposición de ésta los bienes reclamados, circunstancia reveladora -en su opinión- de dos verdades inobjetables: que la puesta a disposición constituyó una mera declamación, que no se concretó; y que era el actor quien se encontraba en mejores condiciones de aportar pruebas sobre el tópico, en oposición a lo valorado por las decisiones recaídas en las instancias de grado.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Sobre el punto, la recurrente impugna también la calificación como “no conformadas” que se otorgara a las referidas facturas, así como la indebida valoración que se hiciera de los registros contables.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III.2- De otro lado, objeta el rechazo de la defensa de compensación, en lo que entiende una muestra inaceptable de voluntarismo y discrecionalidad del órgano jurisdiccional, que soslayó que la privación de un bien que integra el patrimonio de una persona genera legitimación para invocar la exigibilidad. La recurrente afirma, asimismo, que no reclamó en autos una compensación legal en sentido estricto; que no es cierto que su pretensión fuera compensar una obligación de hacer o no hacer; que el fallo se apoya en una norma de derecho derogada e inaplicable y que el crédito de la sociedad </w:t>
      </w:r>
      <w:r w:rsidRPr="00753634">
        <w:rPr>
          <w:rFonts w:ascii="Arial" w:hAnsi="Arial" w:cs="Arial"/>
          <w:i/>
          <w:iCs/>
          <w:color w:val="000000"/>
          <w:sz w:val="24"/>
          <w:szCs w:val="24"/>
        </w:rPr>
        <w:t>“relacionado con el evento de la transferencia bancaria, consta de los datos que la Sentenciante pretende deben reunirse: qué es debido; cuanto es debido y demás datos de integridad”</w:t>
      </w:r>
      <w:r w:rsidRPr="00753634">
        <w:rPr>
          <w:rFonts w:ascii="Arial" w:hAnsi="Arial" w:cs="Arial"/>
          <w:color w:val="000000"/>
          <w:sz w:val="24"/>
          <w:szCs w:val="24"/>
        </w:rPr>
        <w:t>.</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Alude, por último, a las referencias que la sentencia en recurso contiene en relación al pronunciamiento recaído en otro proceso judicial que involucraría a las mismas partes del </w:t>
      </w:r>
      <w:r w:rsidRPr="00753634">
        <w:rPr>
          <w:rFonts w:ascii="Arial" w:hAnsi="Arial" w:cs="Arial"/>
          <w:i/>
          <w:iCs/>
          <w:color w:val="000000"/>
          <w:sz w:val="24"/>
          <w:szCs w:val="24"/>
        </w:rPr>
        <w:t>sub lite</w:t>
      </w:r>
      <w:r w:rsidRPr="00753634">
        <w:rPr>
          <w:rFonts w:ascii="Arial" w:hAnsi="Arial" w:cs="Arial"/>
          <w:color w:val="000000"/>
          <w:sz w:val="24"/>
          <w:szCs w:val="24"/>
        </w:rPr>
        <w:t xml:space="preserve">, a través del que, a criterio de la </w:t>
      </w:r>
      <w:r w:rsidRPr="00753634">
        <w:rPr>
          <w:rFonts w:ascii="Arial" w:hAnsi="Arial" w:cs="Arial"/>
          <w:color w:val="000000"/>
          <w:sz w:val="24"/>
          <w:szCs w:val="24"/>
        </w:rPr>
        <w:lastRenderedPageBreak/>
        <w:t>recurrente, el órgano jurisdiccional habría prejuzgado e impartido directivas al Inferior, con transgresión a los principios del Juez natural, garantía de la doble instancia procesal, defensa en juicio y debido proceso.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III.3- Finalmente, la quejosa impugna lo decidido en relación a los honorarios del letrado Pereyra Jimena, entendiendo que la disminución de los emolumentos que se fijaran en primera instancia importó apartarse de la consideración de elementos de convicción indubitados de la causa.</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IV.- Habiendo el Tribunal </w:t>
      </w:r>
      <w:r w:rsidRPr="00753634">
        <w:rPr>
          <w:rFonts w:ascii="Arial" w:hAnsi="Arial" w:cs="Arial"/>
          <w:i/>
          <w:iCs/>
          <w:color w:val="000000"/>
          <w:sz w:val="24"/>
          <w:szCs w:val="24"/>
        </w:rPr>
        <w:t>a quo</w:t>
      </w:r>
      <w:r w:rsidRPr="00753634">
        <w:rPr>
          <w:rFonts w:ascii="Arial" w:hAnsi="Arial" w:cs="Arial"/>
          <w:color w:val="000000"/>
          <w:sz w:val="24"/>
          <w:szCs w:val="24"/>
        </w:rPr>
        <w:t xml:space="preserve"> concedido el recurso de casación interpuesto por auto interlocutorio de fecha 04/7/2023, corresponde en esta instancia efectuar un nuevo análisis de admisibilidad de la impugnación casatoria para luego, eventualmente, ingresar al examen de su procedencia.</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Es que deducido el recurso ante el Tribunal de mérito que dictó el pronunciamiento atacado, aquél tiene a su cargo el deber de examinar los requisitos de admisibilidad establecidos en la ley procesal y, si los considera reunidos, concede el recurso y eleva los autos a esta Corte, la que efectúa un nuevo juicio de admisibilidad, que puede o no coincidir con el del Inferior.</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En esa labor, anticipo que en mi opinión, la articulación resulta inadmisible, no obstante haberse deducido en término, invocar infracción normativa y el vicio de arbitrariedad, proponer doctrina legal, acreditar el pago del depósito de ley y cumplir los recaudos formales de la Acordada N° 1498/18.</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Sin embargo, el cotejo del memorial casatorio con los fundamentos de la sentencia recurrida y las constancias de la causa, demuestra que las objeciones se orientan a impugnar la valoración de la prueba y la fijación de los hechos del proceso, cuestiones que en principio, resultan irrevisables en la instancia casatoria (confr. CSJTuc., sentencias N° 359 del 16/3/2003; N° 291 del 29/4/2002, entre otras), salvo el supuesto excepcional de arbitrariedad o absurdo, que no aparece configurado en el caso.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Por lo demás, el recurrente reedita argumentos y proposiciones que ya fueron abordados y desestimados por el órgano jurisdiccional Inferior, con adecuada y razonable fundamentación, sin hacerse cargo ni refutar las premisas medulares de la decisión en crisis, limitándose, no obstante, a requerir sin mayor justificación, una solución diferente.</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V.- De allí entonces que el planteo casatorio de marras se presente técnicamente insuficiente en la formulación de los agravios, al carecer de los indispensables desarrollos tendientes a poner de manifiesto el error y/o la ilegitimidad de la sentencia recurrida cuando, valorando el plexo probatorio de autos y con adecuados y lógicos fundamentos, la Alzada confirmó la decisión de la Inferior en cuanto al progreso de la demanda promovida contra Acheral S.A. y la imposición de costas a la accionada, desestimando las defensas de suspensión de cumplimiento y de compensación, oportunamente opuestas al progreso de la acción tentada.</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V.1- En efecto, para desestimar la defensa de suspensión de cumplimiento, la Cámara precisó primeramente, con respaldo </w:t>
      </w:r>
      <w:r w:rsidRPr="00753634">
        <w:rPr>
          <w:rFonts w:ascii="Arial" w:hAnsi="Arial" w:cs="Arial"/>
          <w:color w:val="000000"/>
          <w:sz w:val="24"/>
          <w:szCs w:val="24"/>
        </w:rPr>
        <w:lastRenderedPageBreak/>
        <w:t xml:space="preserve">jurisprudencial y doctrinario, que la </w:t>
      </w:r>
      <w:r w:rsidRPr="00753634">
        <w:rPr>
          <w:rFonts w:ascii="Arial" w:hAnsi="Arial" w:cs="Arial"/>
          <w:i/>
          <w:iCs/>
          <w:color w:val="000000"/>
          <w:sz w:val="24"/>
          <w:szCs w:val="24"/>
        </w:rPr>
        <w:t>exceptio</w:t>
      </w:r>
      <w:r w:rsidRPr="00753634">
        <w:rPr>
          <w:rFonts w:ascii="Arial" w:hAnsi="Arial" w:cs="Arial"/>
          <w:color w:val="000000"/>
          <w:sz w:val="24"/>
          <w:szCs w:val="24"/>
        </w:rPr>
        <w:t xml:space="preserve"> articulada sólo podía utilizarse en casos de falta grave a las obligaciones del contrato, no de obligaciones secundarias; y que tampoco podía usarse la defensa cuando quien la alegaba hubiese motivado el incumplimiento de la otra parte o faltado él mismo a sus obligaciones.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Seguidamente, indicó que en autos, la defensa se sustentó en las facturas emitidas por Acheral S.A. contra el actor Jorge Martínez Zuccardi por la utilización de bienes del ente social, facturas que jamás fueron conformadas por el accionante -sino expresamente rechazadas por él-, ni canceladas por su decisión, sin perjuicio de que la sociedad resolviera luego compensarlas con dividendos.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En ese marco, los judicantes concluyeron que el crédito invocado por la accionada respondía en todo caso a una obligación secundaria que no podía servir de base para el planteo de la defensa del art. 1031 del CCyCN, toda vez que en el caso concreto, la contratación principal consistió en la compraventa de frutas, en la que la compradora accionada incumplió la obligación principal de pagar el precio en tiempo y forma, frente al cumplimiento tempestivo del vendedor según se demostrara en autos.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Ante tales argumentos, la recurrente se limitó a insistir en el incumplimiento que achaca al actor y a cuestionar la valoración que el Tribunal Inferior realizara de los registros contables de la propia sociedad, sin aportar elementos atendibles que permitan advertir el yerro en que incurriera el pronunciamiento en crisis, al caracterizar el reclamo de la demandada como derivado de una obligación secundaria, insusceptible de fundar la defensa de suspensión de cumplimiento, máxime cuando fue la propia accionada quien justificó la demora en el pago del precio de la fruta, no en un incumplimiento del actor, sino en la decisión social de priorizar la cancelación de deudas con terceros proveedores, postergando el pago a los proveedores accionistas, explicación que proporcionó incluso en el recurso de casación en trato [véase al efecto, el párrafo A) del capítulo VII. del memorial casatorio].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V.2- Igualmente insustanciales lucen los embates dirigidos a cuestionar el rechazo de la defensa de compensación. Al respecto, la Cámara desestimó el planteo de la sociedad accionada razonando que en autos no logró establecerse la existencia de un crédito líquido y exigible a favor del demandado y a cargo del actor que hiciera viable la compensación opuesta. Las quejas de la recurrente, por su parte, no refutan la lógica del pronunciamiento ni se hacen cargo del rechazo que el actor formulara a las facturas emitidas en su contra por el pretenso uso de bienes sociales, como tampoco de las conclusiones que el fallo extrae de las pruebas pericial e informativa producidas, en cuanto no permiten colegir la existencia de una deuda en cabeza del actor; ni afirmar que la transferencia bancaria invocada por Acheral S.A. respondiera a la maquinación que ella misma alega y, de ser ese el caso, que la referida maniobra hubiese sido concertada por el accionante, pues no se demostró en autos que se identificaran a los responsables de esa acción.</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lastRenderedPageBreak/>
        <w:t xml:space="preserve">En tales condiciones -lo reitero-, la crítica contenida en el recurso en trato, respecto de la forma en que está construido el razonamiento sentencial, se basa en alegaciones ineficaces para descalificar el pronunciamiento en pugna, puesto que el Tribunal </w:t>
      </w:r>
      <w:r w:rsidRPr="00753634">
        <w:rPr>
          <w:rFonts w:ascii="Arial" w:hAnsi="Arial" w:cs="Arial"/>
          <w:i/>
          <w:iCs/>
          <w:color w:val="000000"/>
          <w:sz w:val="24"/>
          <w:szCs w:val="24"/>
        </w:rPr>
        <w:t xml:space="preserve">a quo </w:t>
      </w:r>
      <w:r w:rsidRPr="00753634">
        <w:rPr>
          <w:rFonts w:ascii="Arial" w:hAnsi="Arial" w:cs="Arial"/>
          <w:color w:val="000000"/>
          <w:sz w:val="24"/>
          <w:szCs w:val="24"/>
        </w:rPr>
        <w:t>ha expresado su criterio con apoyo en los hechos y pruebas que estimó relevantes, practicando un análisis circunstanciado al caso. Los fundamentos de la sentencia discurren en una secuencia lógica con la que se podrá disentir o no, pero en modo alguno autorizan su calificación como arbitraria o absurda.</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Es que, como lo expresara ya este Alto Tribunal en sentencia N° 1119 del 10/12/2002, en términos que cabe reproducir en la concreta hipótesis bajo estudio, </w:t>
      </w:r>
      <w:r w:rsidRPr="00753634">
        <w:rPr>
          <w:rFonts w:ascii="Arial" w:hAnsi="Arial" w:cs="Arial"/>
          <w:i/>
          <w:iCs/>
          <w:color w:val="000000"/>
          <w:sz w:val="24"/>
          <w:szCs w:val="24"/>
        </w:rPr>
        <w:t>“para la admisibilidad del recurso de casación es preciso que el escrito se baste a sí mismo, porque no es suficiente que el recurrente se limite a enunciar una posición discrepante u opuesta a la de la sentencia objetada, sino que es necesario que realice una crítica concreta, puntual y eficaz de todos y cada uno de los argumentos de la sentencia -lo que no acontece en autos-, desde el momento que el propósito de esta vía extraordinaria local es derrumbar, destruir o aniquilar a una resolución y no pronunciar una tesis o interpretación diferente a la de ésta”</w:t>
      </w:r>
      <w:r w:rsidRPr="00753634">
        <w:rPr>
          <w:rFonts w:ascii="Arial" w:hAnsi="Arial" w:cs="Arial"/>
          <w:color w:val="000000"/>
          <w:sz w:val="24"/>
          <w:szCs w:val="24"/>
        </w:rPr>
        <w:t xml:space="preserve"> (en idéntico sentido: sentencias N° 941 del 06/11/2000, “Santillán, María Raquel c. Coronel, Jorge Octavio s/ Cobros”; N° 681, 24/8/2001, “Soraire, Ramón Isidro c. Mejail S.A. s/ Reagravación”; Nº 33 del 08/02/2006, “Medina, Juan Antonio c. Orce, Pablo Daniel s/ Cobro de pesos”).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En la misma línea, es también doctrina de esta Corte en lo que concierne a la autosuficiencia del recurso de casación, que </w:t>
      </w:r>
      <w:r w:rsidRPr="00753634">
        <w:rPr>
          <w:rFonts w:ascii="Arial" w:hAnsi="Arial" w:cs="Arial"/>
          <w:i/>
          <w:iCs/>
          <w:color w:val="000000"/>
          <w:sz w:val="24"/>
          <w:szCs w:val="24"/>
        </w:rPr>
        <w:t>“...tal requisito exige que el escrito casatorio contenga una exposición suficiente de las razones que fundamentan la invocación de la violación de normas que se citan al respecto, crítica razonada de la doctrina que sustenta el fallo y expresión de los argumentos que den sustento suficiente a una solución sentencial que considera ajustada a derecho, contraria a la dada por el fallo recurrido, que permite inferir inequívocamente la doctrina que se propicia, aunque la misma no haya sido expresada en proposición formal”</w:t>
      </w:r>
      <w:r w:rsidRPr="00753634">
        <w:rPr>
          <w:rFonts w:ascii="Arial" w:hAnsi="Arial" w:cs="Arial"/>
          <w:color w:val="000000"/>
          <w:sz w:val="24"/>
          <w:szCs w:val="24"/>
        </w:rPr>
        <w:t xml:space="preserve"> (CSJTuc., sentencia Nº 749 del 29/12/1995, entre otras).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En definitiva, los planteos de la recurrente sólo revelan su</w:t>
      </w:r>
      <w:r w:rsidRPr="00753634">
        <w:rPr>
          <w:rFonts w:ascii="Arial" w:hAnsi="Arial" w:cs="Arial"/>
          <w:color w:val="000000"/>
          <w:sz w:val="24"/>
          <w:szCs w:val="24"/>
          <w:shd w:val="clear" w:color="auto" w:fill="FFFFFF"/>
        </w:rPr>
        <w:t xml:space="preserve"> discrepancia con los fundamentos del fallo atacado y carecen de aptitud para habilitar el recurso tentado en base a la doctrina de la arbitrariedad. Al respecto, cabe puntualizar que ella exige la descalificación del decisorio como acto jurisdiccional válido, lo que no acontece en el caso. Tiene dicho al respecto reiteradamente la Suprema Corte de la Nación, que la doctrina de la arbitrariedad supone la impugnación de sentencias fundadas sólo en la voluntad de los jueces, o que adolecen de manifiesta irrazonabilidad o exhiben una ausencia palmaria de fundamentos. En autos, en cambio, el decisorio impugnado aparece como una derivación razonad del derecho vigente, con apoyo en las circunstancias comprobadas de la causa.</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VI.- A lo expuesto corresponde agregar que los agravios reseñados en los párrafos I), I) y J) del capítulo VII. del memorial casatorio </w:t>
      </w:r>
      <w:r w:rsidRPr="00753634">
        <w:rPr>
          <w:rFonts w:ascii="Arial" w:hAnsi="Arial" w:cs="Arial"/>
          <w:color w:val="000000"/>
          <w:sz w:val="24"/>
          <w:szCs w:val="24"/>
        </w:rPr>
        <w:lastRenderedPageBreak/>
        <w:t xml:space="preserve">en trato, contienen referencias a decisiones que habrían recaído en otro proceso judicial que, en apariencias, involucraría a las mismas partes, las que no llegan a comprenderse cabalmente, pues falta en el recurso una relación completa de antecedentes, que permita a este Alto Tribunal, mediante su sola lectura y sin necesidad de acudir a otros documentos, advertir el sentido de su mención y de qué manera se relacionarían o influirían en la resolución del </w:t>
      </w:r>
      <w:r w:rsidRPr="00753634">
        <w:rPr>
          <w:rFonts w:ascii="Arial" w:hAnsi="Arial" w:cs="Arial"/>
          <w:i/>
          <w:iCs/>
          <w:color w:val="000000"/>
          <w:sz w:val="24"/>
          <w:szCs w:val="24"/>
        </w:rPr>
        <w:t>sub examine</w:t>
      </w:r>
      <w:r w:rsidRPr="00753634">
        <w:rPr>
          <w:rFonts w:ascii="Arial" w:hAnsi="Arial" w:cs="Arial"/>
          <w:color w:val="000000"/>
          <w:sz w:val="24"/>
          <w:szCs w:val="24"/>
        </w:rPr>
        <w:t>.</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En tales condiciones, el recurso es también inadmisible, pues reiteradamente ha resuelto esta Corte que </w:t>
      </w:r>
      <w:r w:rsidRPr="00753634">
        <w:rPr>
          <w:rFonts w:ascii="Arial" w:hAnsi="Arial" w:cs="Arial"/>
          <w:color w:val="000000"/>
          <w:sz w:val="24"/>
          <w:szCs w:val="24"/>
          <w:shd w:val="clear" w:color="auto" w:fill="FFFFFF"/>
        </w:rPr>
        <w:t>es deber de quien intenta ejercitar una vía recursiva extraordinaria -como la casación- presentar el recurso de modo que reúna las condiciones mínimas de autosuficiencia y autonomía, debiéndose plantear adecuadamente el caso (confr. CSJTuc., sentencia N° 1082 del 08/09/2022, “Villafañe, Marcos Javier c. Bercovich S.A. s/ Sumarísimo (Residual)”; sentencia N° 932 del 05/8/2022, “Sucesión de Padilla María Felipa c. Díaz, Carlos Roberto y Rodríguez, María Filomena s/Reivindicación”; sentencia N° 851 del 29/10/2020, “Municipalidad de San Miguel de Tucumán c. Jiménez, Ángela A. s/ Ejecución Fiscal”; sentencia N° 971 del 13/6/2019, “Carranza, Elvira del Valle s/ Prescripción adquisitiva”; sentencia N° 908 del 07/6/2019, “Núñez, Adriana s/Prescripción Adquisitiva”; sentencia N° 193 del 07/3/2019, “Rodríguez, René Edgardo c- Ruiz, Guillermo Darío s/ Daños y perjuicios”, entre muchas otras), lo que según quedó dicho, no ha ocurrido en la especie.</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VII.- Finalmente, es también inadmisible la impugnación de lo decidido por la Cámara sobre los honorarios que corresponde percibir al letrado Pereyra Jimena por su actuación como patrocinante de los codemandados Martínez Zuccardi y Casañas, ya que lo resuelto al respecto no cumple el recaudo </w:t>
      </w:r>
      <w:r w:rsidRPr="00753634">
        <w:rPr>
          <w:rFonts w:ascii="Arial" w:hAnsi="Arial" w:cs="Arial"/>
          <w:color w:val="000000"/>
          <w:sz w:val="24"/>
          <w:szCs w:val="24"/>
          <w:shd w:val="clear" w:color="auto" w:fill="FFFFFF"/>
        </w:rPr>
        <w:t>establecido en el inciso 1°) del art. 805 del CPCyC (Ley N° 9.531).</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shd w:val="clear" w:color="auto" w:fill="FFFFFF"/>
        </w:rPr>
        <w:t>En efecto, de las constancias de autos surge que la resolución recurrida es modificatoria de la sentencia de fecha 31/10/2022 que reguló honorarios en primera instancia y que la quejosa no interpuso contra la  resolución de la  Cámara el recurso de revocatoria previsto en el art. 31 de la Ley N° 5.480.</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shd w:val="clear" w:color="auto" w:fill="FFFFFF"/>
        </w:rPr>
        <w:t xml:space="preserve">En supuestos como el de marras, es pacífica y reiterada la doctrina de este Alto Tribunal que exige a la parte recurrente la articulación de la vía ordinaria local establecida en el aludido artículo 31 de la ley arancelaria, toda vez que es el pronunciamiento que decide dicho recurso de revocatoria el que constituye la sentencia definitiva a los fines casatorios (confr. CSJTuc., sentencia N° 591 del 16/5/2015, “Japaze, Hugo c. Rodríguez, Carlos Alberto s/Daños y perjuicios”; sentencia N° 47 del 05/3/2013, “Gobierno de la Provincia de Tucumán -DGR- c. Los Cevilares S.A. s/ Ejecución fiscal”; sentencia N° 195 del 05/4/2010; “Legorburu, Luis y otros s/ Concurso preventivo. Incidente de Verificación tardía de crédito promovido por AFIP-DGI”; sentencia N° 67 del 20/02/2006, “Córdoba de Camús, Ramona y otras s/ Injurias”; sentencia N° 907 del 21/10/2005, “Cisneros, Carlos A. s/ Calumnias e injurias”; sentencia N° 256 del 30/4/2004, “Brovia, Carlos Alfredo c. Sergio Tata y Víctor Daniel González s/ Daños y perjuicios”; sentencia N° 239 del, 11/4/2000, “Colegio Médico de Tucumán c. </w:t>
      </w:r>
      <w:r w:rsidRPr="00753634">
        <w:rPr>
          <w:rFonts w:ascii="Arial" w:hAnsi="Arial" w:cs="Arial"/>
          <w:color w:val="000000"/>
          <w:sz w:val="24"/>
          <w:szCs w:val="24"/>
          <w:shd w:val="clear" w:color="auto" w:fill="FFFFFF"/>
        </w:rPr>
        <w:lastRenderedPageBreak/>
        <w:t>Instituto de Previsión y Seguridad Social de Tucumán s/ Cobro de pesos”; entre otras).</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shd w:val="clear" w:color="auto" w:fill="FFFFFF"/>
        </w:rPr>
        <w:t>Precisamente, la utilización de la vía extraordinaria de la casación requiere siempre el agotamiento de las vías ordinarias, de donde se sigue que, en supuestos como el de autos, el interesado debe interponer, necesariamente, el recurso de revocatoria contra la sentencia de Cámara, modificatoria o confirmatoria, pues ese es el último medio impugnatorio de carácter ordinario y, por ende, la sentencia que lo resuelve es la definitiva a los efectos del recurso casatorio.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shd w:val="clear" w:color="auto" w:fill="FFFFFF"/>
        </w:rPr>
        <w:t>Por último, no obstante el recurso de casación en trato nada dice al respecto, resta decir que tampoco se configura en la especie el supuesto del inc. 2°) del art. 805 del CPCyC (Ley N° 9.531), dado que la cuestión no asume gravedad institucional, en tanto no excede el interés individual del recurrente ni de las partes ni afecta al de la comunidad.</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VIII.- En virtud de lo expuesto, al no satisfacer los requisitos de autosuficiencia técnica, autonomía y definitividad de la decisión recurrida, el recurso de casación en trato debe declararse inadmisible, con pérdida del depósito.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Las costas de la instancia se imponen al recurrente vencido por ser ley expresa (art. 61, CPCyC).</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p>
    <w:p w:rsidR="00753634" w:rsidRPr="00753634" w:rsidRDefault="00753634" w:rsidP="00753634">
      <w:pPr>
        <w:tabs>
          <w:tab w:val="left" w:pos="100"/>
        </w:tabs>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b/>
          <w:bCs/>
          <w:i/>
          <w:iCs/>
          <w:color w:val="000000"/>
          <w:sz w:val="24"/>
          <w:szCs w:val="24"/>
        </w:rPr>
        <w:t>El señor Vocal doctor Daniel Oscar Posse</w:t>
      </w:r>
      <w:r w:rsidRPr="00753634">
        <w:rPr>
          <w:rFonts w:ascii="Arial" w:hAnsi="Arial" w:cs="Arial"/>
          <w:color w:val="000000"/>
          <w:sz w:val="24"/>
          <w:szCs w:val="24"/>
        </w:rPr>
        <w:t>, dijo: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Por compartir los fundamentos dados por el señor Vocal preopinante doctor Antonio D. Estofán, vota en igual sentido.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b/>
          <w:bCs/>
          <w:i/>
          <w:iCs/>
          <w:color w:val="000000"/>
          <w:sz w:val="24"/>
          <w:szCs w:val="24"/>
        </w:rPr>
        <w:t>El señor Vocal doctor Daniel Leiva</w:t>
      </w:r>
      <w:r w:rsidRPr="00753634">
        <w:rPr>
          <w:rFonts w:ascii="Arial" w:hAnsi="Arial" w:cs="Arial"/>
          <w:color w:val="000000"/>
          <w:sz w:val="24"/>
          <w:szCs w:val="24"/>
        </w:rPr>
        <w:t>, dijo:</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color w:val="000000"/>
          <w:sz w:val="24"/>
          <w:szCs w:val="24"/>
        </w:rPr>
        <w:t xml:space="preserve">Estando de acuerdo con los fundamentos vertidos por el señor Vocal preopinante doctor Antonio D. Estofán, vota en idéntico sentido. </w:t>
      </w: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p>
    <w:p w:rsidR="00753634" w:rsidRPr="00753634" w:rsidRDefault="00753634" w:rsidP="00753634">
      <w:pPr>
        <w:autoSpaceDE w:val="0"/>
        <w:autoSpaceDN w:val="0"/>
        <w:adjustRightInd w:val="0"/>
        <w:spacing w:line="360" w:lineRule="exact"/>
        <w:ind w:firstLine="3401"/>
        <w:jc w:val="both"/>
        <w:rPr>
          <w:rFonts w:ascii="Arial" w:hAnsi="Arial" w:cs="Arial"/>
          <w:color w:val="000000"/>
          <w:sz w:val="24"/>
          <w:szCs w:val="24"/>
        </w:rPr>
      </w:pPr>
      <w:r w:rsidRPr="00753634">
        <w:rPr>
          <w:rFonts w:ascii="Arial" w:hAnsi="Arial" w:cs="Arial"/>
          <w:b/>
          <w:bCs/>
          <w:color w:val="000000"/>
          <w:sz w:val="24"/>
          <w:szCs w:val="24"/>
        </w:rPr>
        <w:t>Y VISTO:</w:t>
      </w:r>
      <w:r w:rsidRPr="00753634">
        <w:rPr>
          <w:rFonts w:ascii="Arial" w:hAnsi="Arial" w:cs="Arial"/>
          <w:color w:val="000000"/>
          <w:sz w:val="24"/>
          <w:szCs w:val="24"/>
        </w:rPr>
        <w:t xml:space="preserve"> El resultado del precedente acuerdo, la Excma. Corte Suprema de Justicia, por intermedio de su Sala en lo Civil y Comercial Común, Civil en Familia y Sucesiones y Penal, </w:t>
      </w:r>
    </w:p>
    <w:p w:rsidR="00753634" w:rsidRPr="00753634" w:rsidRDefault="00753634" w:rsidP="00753634">
      <w:pPr>
        <w:autoSpaceDE w:val="0"/>
        <w:autoSpaceDN w:val="0"/>
        <w:adjustRightInd w:val="0"/>
        <w:spacing w:line="360" w:lineRule="exact"/>
        <w:rPr>
          <w:rFonts w:ascii="Arial" w:hAnsi="Arial" w:cs="Arial"/>
          <w:color w:val="000000"/>
          <w:sz w:val="24"/>
          <w:szCs w:val="24"/>
        </w:rPr>
      </w:pPr>
      <w:r w:rsidRPr="00753634">
        <w:rPr>
          <w:rFonts w:ascii="Arial" w:hAnsi="Arial" w:cs="Arial"/>
          <w:color w:val="000000"/>
          <w:sz w:val="24"/>
          <w:szCs w:val="24"/>
        </w:rPr>
        <w:t xml:space="preserve"> </w:t>
      </w:r>
    </w:p>
    <w:p w:rsidR="00753634" w:rsidRPr="00753634" w:rsidRDefault="00753634" w:rsidP="00753634">
      <w:pPr>
        <w:autoSpaceDE w:val="0"/>
        <w:autoSpaceDN w:val="0"/>
        <w:adjustRightInd w:val="0"/>
        <w:spacing w:line="360" w:lineRule="exact"/>
        <w:jc w:val="center"/>
        <w:rPr>
          <w:rFonts w:ascii="Arial" w:hAnsi="Arial" w:cs="Arial"/>
          <w:color w:val="000000"/>
          <w:sz w:val="24"/>
          <w:szCs w:val="24"/>
        </w:rPr>
      </w:pPr>
      <w:r w:rsidRPr="00753634">
        <w:rPr>
          <w:rFonts w:ascii="Arial" w:hAnsi="Arial" w:cs="Arial"/>
          <w:b/>
          <w:bCs/>
          <w:color w:val="000000"/>
          <w:sz w:val="24"/>
          <w:szCs w:val="24"/>
        </w:rPr>
        <w:t xml:space="preserve">R E S U E L V E : </w:t>
      </w:r>
    </w:p>
    <w:p w:rsidR="00753634" w:rsidRPr="00753634" w:rsidRDefault="00753634" w:rsidP="00753634">
      <w:pPr>
        <w:autoSpaceDE w:val="0"/>
        <w:autoSpaceDN w:val="0"/>
        <w:adjustRightInd w:val="0"/>
        <w:spacing w:line="360" w:lineRule="exact"/>
        <w:rPr>
          <w:rFonts w:ascii="Arial" w:hAnsi="Arial" w:cs="Arial"/>
          <w:color w:val="000000"/>
          <w:sz w:val="24"/>
          <w:szCs w:val="24"/>
        </w:rPr>
      </w:pPr>
      <w:r w:rsidRPr="00753634">
        <w:rPr>
          <w:rFonts w:ascii="Arial" w:hAnsi="Arial" w:cs="Arial"/>
          <w:color w:val="000000"/>
          <w:sz w:val="24"/>
          <w:szCs w:val="24"/>
        </w:rPr>
        <w:t xml:space="preserve"> </w:t>
      </w:r>
    </w:p>
    <w:p w:rsidR="00753634" w:rsidRPr="00753634" w:rsidRDefault="00753634" w:rsidP="00753634">
      <w:pPr>
        <w:autoSpaceDE w:val="0"/>
        <w:autoSpaceDN w:val="0"/>
        <w:adjustRightInd w:val="0"/>
        <w:spacing w:line="360" w:lineRule="exact"/>
        <w:ind w:firstLine="1417"/>
        <w:jc w:val="both"/>
        <w:rPr>
          <w:rFonts w:ascii="Arial" w:hAnsi="Arial" w:cs="Arial"/>
          <w:color w:val="000000"/>
          <w:sz w:val="24"/>
          <w:szCs w:val="24"/>
        </w:rPr>
      </w:pPr>
      <w:r w:rsidRPr="00753634">
        <w:rPr>
          <w:rFonts w:ascii="Arial" w:hAnsi="Arial" w:cs="Arial"/>
          <w:b/>
          <w:bCs/>
          <w:color w:val="000000"/>
          <w:sz w:val="24"/>
          <w:szCs w:val="24"/>
        </w:rPr>
        <w:t xml:space="preserve">I.- DECLARAR INADMISIBLE </w:t>
      </w:r>
      <w:r w:rsidRPr="00753634">
        <w:rPr>
          <w:rFonts w:ascii="Arial" w:hAnsi="Arial" w:cs="Arial"/>
          <w:color w:val="000000"/>
          <w:sz w:val="24"/>
          <w:szCs w:val="24"/>
        </w:rPr>
        <w:t>el recurso interpuesto por Acheral S.A. en contra de la sentencia de fecha 09/5/2023, pronunciada por la Sala II de la Excma. Cámara en lo Civil y Comercial Común del Centro Judicial de Concepción.</w:t>
      </w:r>
    </w:p>
    <w:p w:rsidR="00753634" w:rsidRPr="00753634" w:rsidRDefault="00753634" w:rsidP="00753634">
      <w:pPr>
        <w:autoSpaceDE w:val="0"/>
        <w:autoSpaceDN w:val="0"/>
        <w:adjustRightInd w:val="0"/>
        <w:spacing w:line="360" w:lineRule="exact"/>
        <w:ind w:firstLine="1417"/>
        <w:jc w:val="both"/>
        <w:rPr>
          <w:rFonts w:ascii="Arial" w:hAnsi="Arial" w:cs="Arial"/>
          <w:color w:val="000000"/>
          <w:sz w:val="24"/>
          <w:szCs w:val="24"/>
        </w:rPr>
      </w:pPr>
      <w:r w:rsidRPr="00753634">
        <w:rPr>
          <w:rFonts w:ascii="Arial" w:hAnsi="Arial" w:cs="Arial"/>
          <w:b/>
          <w:bCs/>
          <w:color w:val="000000"/>
          <w:sz w:val="24"/>
          <w:szCs w:val="24"/>
          <w:shd w:val="clear" w:color="auto" w:fill="FFFFFF"/>
        </w:rPr>
        <w:t>II.- COSTAS DE LA CASACIÓN</w:t>
      </w:r>
      <w:r w:rsidRPr="00753634">
        <w:rPr>
          <w:rFonts w:ascii="Arial" w:hAnsi="Arial" w:cs="Arial"/>
          <w:color w:val="000000"/>
          <w:sz w:val="24"/>
          <w:szCs w:val="24"/>
          <w:shd w:val="clear" w:color="auto" w:fill="FFFFFF"/>
        </w:rPr>
        <w:t>, como se consideran.</w:t>
      </w:r>
    </w:p>
    <w:p w:rsidR="00753634" w:rsidRPr="00753634" w:rsidRDefault="00753634" w:rsidP="00753634">
      <w:pPr>
        <w:autoSpaceDE w:val="0"/>
        <w:autoSpaceDN w:val="0"/>
        <w:adjustRightInd w:val="0"/>
        <w:spacing w:line="360" w:lineRule="exact"/>
        <w:ind w:firstLine="1417"/>
        <w:jc w:val="both"/>
        <w:rPr>
          <w:rFonts w:ascii="Arial" w:hAnsi="Arial" w:cs="Arial"/>
          <w:color w:val="000000"/>
          <w:sz w:val="24"/>
          <w:szCs w:val="24"/>
        </w:rPr>
      </w:pPr>
      <w:r w:rsidRPr="00753634">
        <w:rPr>
          <w:rFonts w:ascii="Arial" w:hAnsi="Arial" w:cs="Arial"/>
          <w:b/>
          <w:bCs/>
          <w:color w:val="000000"/>
          <w:sz w:val="24"/>
          <w:szCs w:val="24"/>
        </w:rPr>
        <w:t>III.- RESERVAR</w:t>
      </w:r>
      <w:r w:rsidRPr="00753634">
        <w:rPr>
          <w:rFonts w:ascii="Arial" w:hAnsi="Arial" w:cs="Arial"/>
          <w:color w:val="000000"/>
          <w:sz w:val="24"/>
          <w:szCs w:val="24"/>
        </w:rPr>
        <w:t xml:space="preserve"> pronunciamiento sobre regulación de honorarios.</w:t>
      </w:r>
    </w:p>
    <w:p w:rsidR="00753634" w:rsidRPr="00753634" w:rsidRDefault="00753634" w:rsidP="00753634">
      <w:pPr>
        <w:autoSpaceDE w:val="0"/>
        <w:autoSpaceDN w:val="0"/>
        <w:adjustRightInd w:val="0"/>
        <w:spacing w:line="360" w:lineRule="exact"/>
        <w:ind w:firstLine="1417"/>
        <w:jc w:val="both"/>
        <w:rPr>
          <w:rFonts w:ascii="Arial" w:hAnsi="Arial" w:cs="Arial"/>
          <w:color w:val="000000"/>
          <w:sz w:val="24"/>
          <w:szCs w:val="24"/>
        </w:rPr>
      </w:pPr>
      <w:r w:rsidRPr="00753634">
        <w:rPr>
          <w:rFonts w:ascii="Arial" w:hAnsi="Arial" w:cs="Arial"/>
          <w:color w:val="000000"/>
          <w:sz w:val="24"/>
          <w:szCs w:val="24"/>
        </w:rPr>
        <w:t xml:space="preserve"> </w:t>
      </w:r>
    </w:p>
    <w:p w:rsidR="00753634" w:rsidRPr="00753634" w:rsidRDefault="00753634" w:rsidP="00753634">
      <w:pPr>
        <w:autoSpaceDE w:val="0"/>
        <w:autoSpaceDN w:val="0"/>
        <w:adjustRightInd w:val="0"/>
        <w:spacing w:line="360" w:lineRule="exact"/>
        <w:jc w:val="center"/>
        <w:rPr>
          <w:rFonts w:ascii="Arial" w:hAnsi="Arial" w:cs="Arial"/>
          <w:color w:val="000000"/>
          <w:sz w:val="24"/>
          <w:szCs w:val="24"/>
        </w:rPr>
      </w:pPr>
      <w:r w:rsidRPr="00753634">
        <w:rPr>
          <w:rFonts w:ascii="Arial" w:hAnsi="Arial" w:cs="Arial"/>
          <w:b/>
          <w:bCs/>
          <w:color w:val="000000"/>
          <w:sz w:val="24"/>
          <w:szCs w:val="24"/>
        </w:rPr>
        <w:t xml:space="preserve">HÁGASE SABER. </w:t>
      </w:r>
    </w:p>
    <w:p w:rsidR="00753634" w:rsidRPr="00753634" w:rsidRDefault="00753634" w:rsidP="00753634">
      <w:pPr>
        <w:autoSpaceDE w:val="0"/>
        <w:autoSpaceDN w:val="0"/>
        <w:adjustRightInd w:val="0"/>
        <w:spacing w:line="360" w:lineRule="exact"/>
        <w:rPr>
          <w:rFonts w:ascii="Arial" w:hAnsi="Arial" w:cs="Arial"/>
          <w:color w:val="000000"/>
          <w:sz w:val="24"/>
          <w:szCs w:val="24"/>
        </w:rPr>
      </w:pPr>
      <w:r w:rsidRPr="00753634">
        <w:rPr>
          <w:rFonts w:ascii="Arial" w:hAnsi="Arial" w:cs="Arial"/>
          <w:b/>
          <w:bCs/>
          <w:color w:val="000000"/>
          <w:sz w:val="24"/>
          <w:szCs w:val="24"/>
        </w:rPr>
        <w:lastRenderedPageBreak/>
        <w:t xml:space="preserve">   </w:t>
      </w:r>
    </w:p>
    <w:p w:rsidR="00753634" w:rsidRPr="00753634" w:rsidRDefault="00753634" w:rsidP="00753634">
      <w:pPr>
        <w:autoSpaceDE w:val="0"/>
        <w:autoSpaceDN w:val="0"/>
        <w:adjustRightInd w:val="0"/>
        <w:spacing w:line="360" w:lineRule="auto"/>
        <w:jc w:val="both"/>
        <w:rPr>
          <w:rFonts w:ascii="Arial" w:hAnsi="Arial" w:cs="Arial"/>
          <w:color w:val="000000"/>
          <w:sz w:val="16"/>
          <w:szCs w:val="16"/>
        </w:rPr>
      </w:pPr>
      <w:r w:rsidRPr="00753634">
        <w:rPr>
          <w:rFonts w:ascii="Arial" w:hAnsi="Arial" w:cs="Arial"/>
          <w:b/>
          <w:bCs/>
          <w:color w:val="000000"/>
          <w:sz w:val="16"/>
          <w:szCs w:val="16"/>
        </w:rPr>
        <w:t xml:space="preserve">SUSCRIPTA Y REGISTRADA POR LA ACTUARIA/O FIRMANTE EN LA PROVINCIA DE TUCUMÁN, EN LA FECHA INDICADA EN LA CONSTANCIA DE LA REFERIDA FIRMA DIGITAL DE LA ACTUARIA/O.                                       </w:t>
      </w:r>
      <w:r w:rsidRPr="00753634">
        <w:rPr>
          <w:rFonts w:ascii="Arial" w:hAnsi="Arial" w:cs="Arial"/>
          <w:color w:val="000000"/>
          <w:sz w:val="16"/>
          <w:szCs w:val="16"/>
        </w:rPr>
        <w:t xml:space="preserve">MEG </w:t>
      </w:r>
    </w:p>
    <w:p w:rsidR="00753634" w:rsidRPr="00753634" w:rsidRDefault="00753634" w:rsidP="00753634">
      <w:pPr>
        <w:autoSpaceDE w:val="0"/>
        <w:autoSpaceDN w:val="0"/>
        <w:adjustRightInd w:val="0"/>
        <w:rPr>
          <w:rFonts w:ascii="Arial" w:hAnsi="Arial" w:cs="Arial"/>
          <w:sz w:val="17"/>
          <w:szCs w:val="17"/>
        </w:rPr>
      </w:pPr>
    </w:p>
    <w:p w:rsidR="00753634" w:rsidRPr="00753634" w:rsidRDefault="00753634" w:rsidP="00753634">
      <w:pPr>
        <w:autoSpaceDE w:val="0"/>
        <w:autoSpaceDN w:val="0"/>
        <w:adjustRightInd w:val="0"/>
        <w:rPr>
          <w:rFonts w:ascii="Arial" w:hAnsi="Arial" w:cs="Arial"/>
          <w:sz w:val="17"/>
          <w:szCs w:val="17"/>
        </w:rPr>
      </w:pPr>
      <w:r w:rsidRPr="00753634">
        <w:rPr>
          <w:rFonts w:ascii="Arial" w:hAnsi="Arial" w:cs="Arial"/>
          <w:sz w:val="14"/>
          <w:szCs w:val="14"/>
        </w:rPr>
        <w:t>NRO.SENT: 1720 - FECHA SENT: 28/12/2023</w:t>
      </w:r>
    </w:p>
    <w:p w:rsidR="00753634" w:rsidRPr="00753634" w:rsidRDefault="00753634" w:rsidP="00753634">
      <w:pPr>
        <w:autoSpaceDE w:val="0"/>
        <w:autoSpaceDN w:val="0"/>
        <w:adjustRightInd w:val="0"/>
        <w:rPr>
          <w:rFonts w:ascii="Arial" w:hAnsi="Arial" w:cs="Arial"/>
          <w:sz w:val="17"/>
          <w:szCs w:val="17"/>
        </w:rPr>
      </w:pPr>
    </w:p>
    <w:p w:rsidR="00753634" w:rsidRPr="00753634" w:rsidRDefault="00753634" w:rsidP="00753634">
      <w:pPr>
        <w:autoSpaceDE w:val="0"/>
        <w:autoSpaceDN w:val="0"/>
        <w:adjustRightInd w:val="0"/>
        <w:rPr>
          <w:rFonts w:ascii="Arial" w:hAnsi="Arial" w:cs="Arial"/>
          <w:sz w:val="17"/>
          <w:szCs w:val="17"/>
        </w:rPr>
      </w:pPr>
      <w:r w:rsidRPr="00753634">
        <w:rPr>
          <w:rFonts w:ascii="Arial" w:hAnsi="Arial" w:cs="Arial"/>
          <w:b/>
          <w:bCs/>
          <w:sz w:val="17"/>
          <w:szCs w:val="17"/>
        </w:rPr>
        <w:t>FIRMADO DIGITALMENTE</w:t>
      </w:r>
    </w:p>
    <w:p w:rsidR="00753634" w:rsidRPr="00753634" w:rsidRDefault="00753634" w:rsidP="00753634">
      <w:pPr>
        <w:autoSpaceDE w:val="0"/>
        <w:autoSpaceDN w:val="0"/>
        <w:adjustRightInd w:val="0"/>
        <w:rPr>
          <w:rFonts w:ascii="Arial" w:hAnsi="Arial" w:cs="Arial"/>
          <w:sz w:val="17"/>
          <w:szCs w:val="17"/>
        </w:rPr>
      </w:pPr>
      <w:r w:rsidRPr="00753634">
        <w:rPr>
          <w:rFonts w:ascii="Arial" w:hAnsi="Arial" w:cs="Arial"/>
          <w:b/>
          <w:bCs/>
          <w:sz w:val="17"/>
          <w:szCs w:val="17"/>
        </w:rPr>
        <w:t>Certificado Digital:</w:t>
      </w:r>
    </w:p>
    <w:p w:rsidR="00753634" w:rsidRPr="00753634" w:rsidRDefault="00753634" w:rsidP="00753634">
      <w:pPr>
        <w:autoSpaceDE w:val="0"/>
        <w:autoSpaceDN w:val="0"/>
        <w:adjustRightInd w:val="0"/>
        <w:rPr>
          <w:rFonts w:ascii="Arial" w:hAnsi="Arial" w:cs="Arial"/>
          <w:sz w:val="17"/>
          <w:szCs w:val="17"/>
        </w:rPr>
      </w:pPr>
      <w:r w:rsidRPr="00753634">
        <w:rPr>
          <w:rFonts w:ascii="Arial" w:hAnsi="Arial" w:cs="Arial"/>
          <w:sz w:val="14"/>
          <w:szCs w:val="14"/>
        </w:rPr>
        <w:t>CN=LEIVA Daniel, C=AR, SERIALNUMBER=CUIL 20161768368, Fecha:28/12/2023;CN=POSSE Daniel Oscar, C=AR, SERIALNUMBER=CUIL 23126070039, Fecha:28/12/2023;CN=ESTOFÁN Antonio Daniel, C=AR, SERIALNUMBER=CUIL 20080365749, Fecha:28/12/2023;CN=FORTE Claudia Maria, C=AR, SERIALNUMBER=CUIL 27166855859, Fecha:28/12/2023;</w:t>
      </w:r>
    </w:p>
    <w:p w:rsidR="00753634" w:rsidRPr="00753634" w:rsidRDefault="00753634" w:rsidP="00753634">
      <w:pPr>
        <w:autoSpaceDE w:val="0"/>
        <w:autoSpaceDN w:val="0"/>
        <w:adjustRightInd w:val="0"/>
        <w:rPr>
          <w:rFonts w:ascii="Arial" w:hAnsi="Arial" w:cs="Arial"/>
          <w:sz w:val="17"/>
          <w:szCs w:val="17"/>
        </w:rPr>
      </w:pPr>
      <w:r w:rsidRPr="00753634">
        <w:rPr>
          <w:rFonts w:ascii="Arial" w:hAnsi="Arial" w:cs="Arial"/>
          <w:sz w:val="14"/>
          <w:szCs w:val="14"/>
        </w:rPr>
        <w:t>La autenticidad e integridad del texto puede ser comprobada en el sitio oficial delPoder Judicial de Tucumán https://www.justucuman.gov.ar</w:t>
      </w:r>
    </w:p>
    <w:p w:rsidR="007B5723" w:rsidRPr="00CF1CBC" w:rsidRDefault="007B5723" w:rsidP="00CF1CBC">
      <w:bookmarkStart w:id="0" w:name="_GoBack"/>
      <w:bookmarkEnd w:id="0"/>
    </w:p>
    <w:sectPr w:rsidR="007B5723" w:rsidRPr="00CF1CBC" w:rsidSect="00753634">
      <w:pgSz w:w="12240" w:h="20160"/>
      <w:pgMar w:top="1984" w:right="850" w:bottom="1984" w:left="2551" w:header="1984" w:footer="0" w:gutter="0"/>
      <w:cols w:space="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1D5" w:rsidRDefault="00A611D5" w:rsidP="00B23B5D">
      <w:r>
        <w:separator/>
      </w:r>
    </w:p>
  </w:endnote>
  <w:endnote w:type="continuationSeparator" w:id="0">
    <w:p w:rsidR="00A611D5" w:rsidRDefault="00A611D5" w:rsidP="00B2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Code39">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1D5" w:rsidRDefault="00A611D5" w:rsidP="00B23B5D">
      <w:r>
        <w:separator/>
      </w:r>
    </w:p>
  </w:footnote>
  <w:footnote w:type="continuationSeparator" w:id="0">
    <w:p w:rsidR="00A611D5" w:rsidRDefault="00A611D5" w:rsidP="00B23B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03148"/>
    <w:multiLevelType w:val="multilevel"/>
    <w:tmpl w:val="C2DE5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ED2196"/>
    <w:multiLevelType w:val="multilevel"/>
    <w:tmpl w:val="7B525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FD3141"/>
    <w:multiLevelType w:val="hybridMultilevel"/>
    <w:tmpl w:val="9BB85DF6"/>
    <w:lvl w:ilvl="0" w:tplc="2320C47C">
      <w:start w:val="3"/>
      <w:numFmt w:val="upperLetter"/>
      <w:lvlText w:val="%1."/>
      <w:lvlJc w:val="left"/>
      <w:pPr>
        <w:tabs>
          <w:tab w:val="num" w:pos="720"/>
        </w:tabs>
        <w:ind w:left="720" w:hanging="360"/>
      </w:pPr>
    </w:lvl>
    <w:lvl w:ilvl="1" w:tplc="77B82C6C" w:tentative="1">
      <w:start w:val="1"/>
      <w:numFmt w:val="decimal"/>
      <w:lvlText w:val="%2."/>
      <w:lvlJc w:val="left"/>
      <w:pPr>
        <w:tabs>
          <w:tab w:val="num" w:pos="1440"/>
        </w:tabs>
        <w:ind w:left="1440" w:hanging="360"/>
      </w:pPr>
    </w:lvl>
    <w:lvl w:ilvl="2" w:tplc="77B4A254" w:tentative="1">
      <w:start w:val="1"/>
      <w:numFmt w:val="decimal"/>
      <w:lvlText w:val="%3."/>
      <w:lvlJc w:val="left"/>
      <w:pPr>
        <w:tabs>
          <w:tab w:val="num" w:pos="2160"/>
        </w:tabs>
        <w:ind w:left="2160" w:hanging="360"/>
      </w:pPr>
    </w:lvl>
    <w:lvl w:ilvl="3" w:tplc="1668D61E" w:tentative="1">
      <w:start w:val="1"/>
      <w:numFmt w:val="decimal"/>
      <w:lvlText w:val="%4."/>
      <w:lvlJc w:val="left"/>
      <w:pPr>
        <w:tabs>
          <w:tab w:val="num" w:pos="2880"/>
        </w:tabs>
        <w:ind w:left="2880" w:hanging="360"/>
      </w:pPr>
    </w:lvl>
    <w:lvl w:ilvl="4" w:tplc="E1E4A114" w:tentative="1">
      <w:start w:val="1"/>
      <w:numFmt w:val="decimal"/>
      <w:lvlText w:val="%5."/>
      <w:lvlJc w:val="left"/>
      <w:pPr>
        <w:tabs>
          <w:tab w:val="num" w:pos="3600"/>
        </w:tabs>
        <w:ind w:left="3600" w:hanging="360"/>
      </w:pPr>
    </w:lvl>
    <w:lvl w:ilvl="5" w:tplc="FFE47D94" w:tentative="1">
      <w:start w:val="1"/>
      <w:numFmt w:val="decimal"/>
      <w:lvlText w:val="%6."/>
      <w:lvlJc w:val="left"/>
      <w:pPr>
        <w:tabs>
          <w:tab w:val="num" w:pos="4320"/>
        </w:tabs>
        <w:ind w:left="4320" w:hanging="360"/>
      </w:pPr>
    </w:lvl>
    <w:lvl w:ilvl="6" w:tplc="327E8CFE" w:tentative="1">
      <w:start w:val="1"/>
      <w:numFmt w:val="decimal"/>
      <w:lvlText w:val="%7."/>
      <w:lvlJc w:val="left"/>
      <w:pPr>
        <w:tabs>
          <w:tab w:val="num" w:pos="5040"/>
        </w:tabs>
        <w:ind w:left="5040" w:hanging="360"/>
      </w:pPr>
    </w:lvl>
    <w:lvl w:ilvl="7" w:tplc="7C96F72A" w:tentative="1">
      <w:start w:val="1"/>
      <w:numFmt w:val="decimal"/>
      <w:lvlText w:val="%8."/>
      <w:lvlJc w:val="left"/>
      <w:pPr>
        <w:tabs>
          <w:tab w:val="num" w:pos="5760"/>
        </w:tabs>
        <w:ind w:left="5760" w:hanging="360"/>
      </w:pPr>
    </w:lvl>
    <w:lvl w:ilvl="8" w:tplc="87544BCC" w:tentative="1">
      <w:start w:val="1"/>
      <w:numFmt w:val="decimal"/>
      <w:lvlText w:val="%9."/>
      <w:lvlJc w:val="left"/>
      <w:pPr>
        <w:tabs>
          <w:tab w:val="num" w:pos="6480"/>
        </w:tabs>
        <w:ind w:left="6480" w:hanging="360"/>
      </w:pPr>
    </w:lvl>
  </w:abstractNum>
  <w:abstractNum w:abstractNumId="3" w15:restartNumberingAfterBreak="0">
    <w:nsid w:val="695A6FE2"/>
    <w:multiLevelType w:val="multilevel"/>
    <w:tmpl w:val="2340C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E62C1C"/>
    <w:multiLevelType w:val="hybridMultilevel"/>
    <w:tmpl w:val="E4C4F2C0"/>
    <w:lvl w:ilvl="0" w:tplc="428A3BA8">
      <w:start w:val="2"/>
      <w:numFmt w:val="upperLetter"/>
      <w:lvlText w:val="%1."/>
      <w:lvlJc w:val="left"/>
      <w:pPr>
        <w:tabs>
          <w:tab w:val="num" w:pos="720"/>
        </w:tabs>
        <w:ind w:left="720" w:hanging="360"/>
      </w:pPr>
    </w:lvl>
    <w:lvl w:ilvl="1" w:tplc="E962E1FC" w:tentative="1">
      <w:start w:val="1"/>
      <w:numFmt w:val="decimal"/>
      <w:lvlText w:val="%2."/>
      <w:lvlJc w:val="left"/>
      <w:pPr>
        <w:tabs>
          <w:tab w:val="num" w:pos="1440"/>
        </w:tabs>
        <w:ind w:left="1440" w:hanging="360"/>
      </w:pPr>
    </w:lvl>
    <w:lvl w:ilvl="2" w:tplc="13A64664" w:tentative="1">
      <w:start w:val="1"/>
      <w:numFmt w:val="decimal"/>
      <w:lvlText w:val="%3."/>
      <w:lvlJc w:val="left"/>
      <w:pPr>
        <w:tabs>
          <w:tab w:val="num" w:pos="2160"/>
        </w:tabs>
        <w:ind w:left="2160" w:hanging="360"/>
      </w:pPr>
    </w:lvl>
    <w:lvl w:ilvl="3" w:tplc="C4B83A2E" w:tentative="1">
      <w:start w:val="1"/>
      <w:numFmt w:val="decimal"/>
      <w:lvlText w:val="%4."/>
      <w:lvlJc w:val="left"/>
      <w:pPr>
        <w:tabs>
          <w:tab w:val="num" w:pos="2880"/>
        </w:tabs>
        <w:ind w:left="2880" w:hanging="360"/>
      </w:pPr>
    </w:lvl>
    <w:lvl w:ilvl="4" w:tplc="6EF2AB60" w:tentative="1">
      <w:start w:val="1"/>
      <w:numFmt w:val="decimal"/>
      <w:lvlText w:val="%5."/>
      <w:lvlJc w:val="left"/>
      <w:pPr>
        <w:tabs>
          <w:tab w:val="num" w:pos="3600"/>
        </w:tabs>
        <w:ind w:left="3600" w:hanging="360"/>
      </w:pPr>
    </w:lvl>
    <w:lvl w:ilvl="5" w:tplc="1FB4B8D6" w:tentative="1">
      <w:start w:val="1"/>
      <w:numFmt w:val="decimal"/>
      <w:lvlText w:val="%6."/>
      <w:lvlJc w:val="left"/>
      <w:pPr>
        <w:tabs>
          <w:tab w:val="num" w:pos="4320"/>
        </w:tabs>
        <w:ind w:left="4320" w:hanging="360"/>
      </w:pPr>
    </w:lvl>
    <w:lvl w:ilvl="6" w:tplc="889AF6A8" w:tentative="1">
      <w:start w:val="1"/>
      <w:numFmt w:val="decimal"/>
      <w:lvlText w:val="%7."/>
      <w:lvlJc w:val="left"/>
      <w:pPr>
        <w:tabs>
          <w:tab w:val="num" w:pos="5040"/>
        </w:tabs>
        <w:ind w:left="5040" w:hanging="360"/>
      </w:pPr>
    </w:lvl>
    <w:lvl w:ilvl="7" w:tplc="26A4DBD6" w:tentative="1">
      <w:start w:val="1"/>
      <w:numFmt w:val="decimal"/>
      <w:lvlText w:val="%8."/>
      <w:lvlJc w:val="left"/>
      <w:pPr>
        <w:tabs>
          <w:tab w:val="num" w:pos="5760"/>
        </w:tabs>
        <w:ind w:left="5760" w:hanging="360"/>
      </w:pPr>
    </w:lvl>
    <w:lvl w:ilvl="8" w:tplc="2B085F24" w:tentative="1">
      <w:start w:val="1"/>
      <w:numFmt w:val="decimal"/>
      <w:lvlText w:val="%9."/>
      <w:lvlJc w:val="left"/>
      <w:pPr>
        <w:tabs>
          <w:tab w:val="num" w:pos="6480"/>
        </w:tabs>
        <w:ind w:left="6480" w:hanging="360"/>
      </w:pPr>
    </w:lvl>
  </w:abstractNum>
  <w:abstractNum w:abstractNumId="5" w15:restartNumberingAfterBreak="0">
    <w:nsid w:val="7EFA7E8D"/>
    <w:multiLevelType w:val="multilevel"/>
    <w:tmpl w:val="7D2E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upperLetter"/>
        <w:lvlText w:val="%1."/>
        <w:lvlJc w:val="left"/>
      </w:lvl>
    </w:lvlOverride>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3BE"/>
    <w:rsid w:val="00062F3F"/>
    <w:rsid w:val="000A7092"/>
    <w:rsid w:val="001379AA"/>
    <w:rsid w:val="001A41BE"/>
    <w:rsid w:val="0023794E"/>
    <w:rsid w:val="00277E13"/>
    <w:rsid w:val="003D174C"/>
    <w:rsid w:val="004F2933"/>
    <w:rsid w:val="00556A8B"/>
    <w:rsid w:val="005A49CE"/>
    <w:rsid w:val="005D12C9"/>
    <w:rsid w:val="00674729"/>
    <w:rsid w:val="007049F5"/>
    <w:rsid w:val="00723F9D"/>
    <w:rsid w:val="00741346"/>
    <w:rsid w:val="00753634"/>
    <w:rsid w:val="007B5723"/>
    <w:rsid w:val="00946F82"/>
    <w:rsid w:val="009D02F5"/>
    <w:rsid w:val="009D071F"/>
    <w:rsid w:val="00A611D5"/>
    <w:rsid w:val="00B00B19"/>
    <w:rsid w:val="00B23784"/>
    <w:rsid w:val="00B23B5D"/>
    <w:rsid w:val="00B83FA9"/>
    <w:rsid w:val="00BF07AF"/>
    <w:rsid w:val="00CC140B"/>
    <w:rsid w:val="00CF1CBC"/>
    <w:rsid w:val="00D66091"/>
    <w:rsid w:val="00DC64E0"/>
    <w:rsid w:val="00E05684"/>
    <w:rsid w:val="00EB05C3"/>
    <w:rsid w:val="00EC55B4"/>
    <w:rsid w:val="00EE33BE"/>
    <w:rsid w:val="00F702A4"/>
    <w:rsid w:val="00FF315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4D855B-2D09-43EA-8031-C15CA80A1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basedOn w:val="Normal"/>
    <w:rsid w:val="00DC64E0"/>
    <w:pPr>
      <w:autoSpaceDE w:val="0"/>
      <w:autoSpaceDN w:val="0"/>
      <w:adjustRightInd w:val="0"/>
    </w:pPr>
    <w:rPr>
      <w:rFonts w:ascii="Arial" w:hAnsi="Arial" w:cs="Arial"/>
      <w:color w:val="000000"/>
      <w:sz w:val="20"/>
      <w:szCs w:val="20"/>
    </w:rPr>
  </w:style>
  <w:style w:type="paragraph" w:styleId="Sinespaciado">
    <w:name w:val="No Spacing"/>
    <w:qFormat/>
    <w:rsid w:val="00EC55B4"/>
    <w:pPr>
      <w:suppressAutoHyphens/>
      <w:autoSpaceDN w:val="0"/>
      <w:spacing w:line="240" w:lineRule="auto"/>
      <w:jc w:val="left"/>
    </w:pPr>
    <w:rPr>
      <w:rFonts w:ascii="Times New Roman" w:eastAsia="SimSun" w:hAnsi="Times New Roman" w:cs="Mangal"/>
      <w:kern w:val="3"/>
      <w:sz w:val="24"/>
      <w:szCs w:val="24"/>
      <w:lang w:eastAsia="es-ES" w:bidi="hi-IN"/>
    </w:rPr>
  </w:style>
  <w:style w:type="paragraph" w:customStyle="1" w:styleId="Standard">
    <w:name w:val="Standard"/>
    <w:rsid w:val="00EC55B4"/>
    <w:pPr>
      <w:widowControl w:val="0"/>
      <w:suppressAutoHyphens/>
      <w:autoSpaceDN w:val="0"/>
      <w:spacing w:line="240" w:lineRule="auto"/>
      <w:jc w:val="left"/>
    </w:pPr>
    <w:rPr>
      <w:rFonts w:ascii="Times New Roman" w:eastAsia="SimSun" w:hAnsi="Times New Roman" w:cs="Mangal"/>
      <w:kern w:val="3"/>
      <w:sz w:val="24"/>
      <w:szCs w:val="24"/>
      <w:lang w:eastAsia="zh-CN" w:bidi="hi-IN"/>
    </w:rPr>
  </w:style>
  <w:style w:type="paragraph" w:styleId="Encabezado">
    <w:name w:val="header"/>
    <w:basedOn w:val="Normal"/>
    <w:link w:val="EncabezadoCar"/>
    <w:uiPriority w:val="99"/>
    <w:unhideWhenUsed/>
    <w:rsid w:val="00B23B5D"/>
    <w:pPr>
      <w:tabs>
        <w:tab w:val="center" w:pos="4252"/>
        <w:tab w:val="right" w:pos="8504"/>
      </w:tabs>
    </w:pPr>
  </w:style>
  <w:style w:type="character" w:customStyle="1" w:styleId="EncabezadoCar">
    <w:name w:val="Encabezado Car"/>
    <w:basedOn w:val="Fuentedeprrafopredeter"/>
    <w:link w:val="Encabezado"/>
    <w:uiPriority w:val="99"/>
    <w:rsid w:val="00B23B5D"/>
  </w:style>
  <w:style w:type="paragraph" w:styleId="Piedepgina">
    <w:name w:val="footer"/>
    <w:basedOn w:val="Normal"/>
    <w:link w:val="PiedepginaCar"/>
    <w:uiPriority w:val="99"/>
    <w:unhideWhenUsed/>
    <w:rsid w:val="00B23B5D"/>
    <w:pPr>
      <w:tabs>
        <w:tab w:val="center" w:pos="4252"/>
        <w:tab w:val="right" w:pos="8504"/>
      </w:tabs>
    </w:pPr>
  </w:style>
  <w:style w:type="character" w:customStyle="1" w:styleId="PiedepginaCar">
    <w:name w:val="Pie de página Car"/>
    <w:basedOn w:val="Fuentedeprrafopredeter"/>
    <w:link w:val="Piedepgina"/>
    <w:uiPriority w:val="99"/>
    <w:rsid w:val="00B23B5D"/>
  </w:style>
  <w:style w:type="table" w:styleId="Tablaconcuadrcula">
    <w:name w:val="Table Grid"/>
    <w:basedOn w:val="Tablanormal"/>
    <w:uiPriority w:val="59"/>
    <w:rsid w:val="000A70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46F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02053">
      <w:bodyDiv w:val="1"/>
      <w:marLeft w:val="0"/>
      <w:marRight w:val="0"/>
      <w:marTop w:val="0"/>
      <w:marBottom w:val="0"/>
      <w:divBdr>
        <w:top w:val="none" w:sz="0" w:space="0" w:color="auto"/>
        <w:left w:val="none" w:sz="0" w:space="0" w:color="auto"/>
        <w:bottom w:val="none" w:sz="0" w:space="0" w:color="auto"/>
        <w:right w:val="none" w:sz="0" w:space="0" w:color="auto"/>
      </w:divBdr>
    </w:div>
    <w:div w:id="740953710">
      <w:bodyDiv w:val="1"/>
      <w:marLeft w:val="0"/>
      <w:marRight w:val="0"/>
      <w:marTop w:val="0"/>
      <w:marBottom w:val="0"/>
      <w:divBdr>
        <w:top w:val="none" w:sz="0" w:space="0" w:color="auto"/>
        <w:left w:val="none" w:sz="0" w:space="0" w:color="auto"/>
        <w:bottom w:val="none" w:sz="0" w:space="0" w:color="auto"/>
        <w:right w:val="none" w:sz="0" w:space="0" w:color="auto"/>
      </w:divBdr>
    </w:div>
    <w:div w:id="1234966855">
      <w:bodyDiv w:val="1"/>
      <w:marLeft w:val="0"/>
      <w:marRight w:val="0"/>
      <w:marTop w:val="0"/>
      <w:marBottom w:val="0"/>
      <w:divBdr>
        <w:top w:val="none" w:sz="0" w:space="0" w:color="auto"/>
        <w:left w:val="none" w:sz="0" w:space="0" w:color="auto"/>
        <w:bottom w:val="none" w:sz="0" w:space="0" w:color="auto"/>
        <w:right w:val="none" w:sz="0" w:space="0" w:color="auto"/>
      </w:divBdr>
      <w:divsChild>
        <w:div w:id="1436293895">
          <w:marLeft w:val="-7"/>
          <w:marRight w:val="0"/>
          <w:marTop w:val="0"/>
          <w:marBottom w:val="0"/>
          <w:divBdr>
            <w:top w:val="none" w:sz="0" w:space="0" w:color="auto"/>
            <w:left w:val="none" w:sz="0" w:space="0" w:color="auto"/>
            <w:bottom w:val="none" w:sz="0" w:space="0" w:color="auto"/>
            <w:right w:val="none" w:sz="0" w:space="0" w:color="auto"/>
          </w:divBdr>
        </w:div>
        <w:div w:id="1084915607">
          <w:marLeft w:val="-1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3219</Words>
  <Characters>17709</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2024-02-28T11:59:00Z</dcterms:created>
  <dcterms:modified xsi:type="dcterms:W3CDTF">2024-02-28T11:59:00Z</dcterms:modified>
</cp:coreProperties>
</file>